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color w:val="auto"/>
          <w:sz w:val="32"/>
          <w:szCs w:val="32"/>
        </w:rPr>
      </w:pPr>
      <w:r>
        <w:rPr>
          <w:rFonts w:hint="eastAsia" w:ascii="宋体" w:hAnsi="宋体"/>
          <w:b/>
          <w:color w:val="000000"/>
          <w:sz w:val="56"/>
          <w:szCs w:val="56"/>
          <w:lang w:eastAsia="zh-CN"/>
        </w:rPr>
        <w:br w:type="textWrapping"/>
      </w:r>
      <w:r>
        <w:rPr>
          <w:rFonts w:hint="eastAsia" w:ascii="宋体" w:hAnsi="宋体"/>
          <w:b/>
          <w:color w:val="000000"/>
          <w:sz w:val="56"/>
          <w:szCs w:val="56"/>
          <w:lang w:eastAsia="zh-CN"/>
        </w:rPr>
        <w:br w:type="textWrapping"/>
      </w:r>
      <w:r>
        <w:rPr>
          <w:rFonts w:hint="eastAsia"/>
          <w:b/>
          <w:color w:val="auto"/>
          <w:sz w:val="32"/>
          <w:szCs w:val="32"/>
        </w:rPr>
        <w:drawing>
          <wp:inline distT="0" distB="0" distL="114300" distR="114300">
            <wp:extent cx="5581650" cy="8039100"/>
            <wp:effectExtent l="0" t="0" r="0" b="0"/>
            <wp:docPr id="4" name="图片 4" descr="微信图片_2023082215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22151648"/>
                    <pic:cNvPicPr>
                      <a:picLocks noChangeAspect="1"/>
                    </pic:cNvPicPr>
                  </pic:nvPicPr>
                  <pic:blipFill>
                    <a:blip r:embed="rId8"/>
                    <a:stretch>
                      <a:fillRect/>
                    </a:stretch>
                  </pic:blipFill>
                  <pic:spPr>
                    <a:xfrm>
                      <a:off x="0" y="0"/>
                      <a:ext cx="5581650" cy="8039100"/>
                    </a:xfrm>
                    <a:prstGeom prst="rect">
                      <a:avLst/>
                    </a:prstGeom>
                  </pic:spPr>
                </pic:pic>
              </a:graphicData>
            </a:graphic>
          </wp:inline>
        </w:drawing>
      </w:r>
    </w:p>
    <w:p>
      <w:pPr>
        <w:rPr>
          <w:rFonts w:hint="eastAsia"/>
          <w:b/>
          <w:color w:val="auto"/>
          <w:sz w:val="32"/>
          <w:szCs w:val="32"/>
        </w:rPr>
      </w:pPr>
      <w:r>
        <w:rPr>
          <w:rFonts w:hint="eastAsia"/>
          <w:b/>
          <w:color w:val="auto"/>
          <w:sz w:val="32"/>
          <w:szCs w:val="32"/>
        </w:rPr>
        <w:br w:type="page"/>
      </w:r>
    </w:p>
    <w:p>
      <w:pPr>
        <w:spacing w:line="240" w:lineRule="auto"/>
        <w:jc w:val="center"/>
        <w:rPr>
          <w:rFonts w:ascii="宋体" w:hAnsi="宋体" w:cs="宋体"/>
          <w:b/>
          <w:color w:val="auto"/>
          <w:sz w:val="44"/>
          <w:szCs w:val="48"/>
        </w:rPr>
      </w:pPr>
      <w:r>
        <w:rPr>
          <w:rFonts w:hint="eastAsia"/>
          <w:b/>
          <w:color w:val="auto"/>
          <w:sz w:val="32"/>
          <w:szCs w:val="32"/>
        </w:rPr>
        <w:t>目 录</w:t>
      </w:r>
    </w:p>
    <w:p>
      <w:pPr>
        <w:pStyle w:val="28"/>
        <w:tabs>
          <w:tab w:val="right" w:leader="dot" w:pos="9072"/>
          <w:tab w:val="clear" w:pos="9638"/>
        </w:tabs>
        <w:rPr>
          <w:rStyle w:val="44"/>
          <w:color w:val="auto"/>
        </w:rPr>
      </w:pPr>
      <w:bookmarkStart w:id="0" w:name="_Hlk132704898"/>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"_Toc130206638" \o "#_Toc130206638" </w:instrText>
      </w:r>
      <w:r>
        <w:rPr>
          <w:color w:val="auto"/>
        </w:rPr>
        <w:fldChar w:fldCharType="separate"/>
      </w:r>
      <w:r>
        <w:rPr>
          <w:rStyle w:val="44"/>
          <w:rFonts w:hint="eastAsia"/>
          <w:color w:val="auto"/>
        </w:rPr>
        <w:t>第一章</w:t>
      </w:r>
      <w:r>
        <w:rPr>
          <w:rStyle w:val="44"/>
          <w:color w:val="auto"/>
        </w:rPr>
        <w:t xml:space="preserve"> </w:t>
      </w:r>
      <w:r>
        <w:rPr>
          <w:rStyle w:val="44"/>
          <w:rFonts w:hint="eastAsia"/>
          <w:color w:val="auto"/>
        </w:rPr>
        <w:t>招标公告</w:t>
      </w:r>
      <w:r>
        <w:rPr>
          <w:rStyle w:val="44"/>
          <w:color w:val="auto"/>
        </w:rPr>
        <w:tab/>
      </w:r>
      <w:r>
        <w:rPr>
          <w:rStyle w:val="44"/>
          <w:color w:val="auto"/>
        </w:rPr>
        <w:fldChar w:fldCharType="begin"/>
      </w:r>
      <w:r>
        <w:rPr>
          <w:rStyle w:val="44"/>
          <w:color w:val="auto"/>
        </w:rPr>
        <w:instrText xml:space="preserve"> PAGEREF _Toc130206638 \h </w:instrText>
      </w:r>
      <w:r>
        <w:rPr>
          <w:rStyle w:val="44"/>
          <w:color w:val="auto"/>
        </w:rPr>
        <w:fldChar w:fldCharType="separate"/>
      </w:r>
      <w:r>
        <w:rPr>
          <w:rStyle w:val="44"/>
          <w:color w:val="auto"/>
        </w:rPr>
        <w:t>1</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"_Toc130206640" \o "#_Toc130206640" </w:instrText>
      </w:r>
      <w:r>
        <w:rPr>
          <w:color w:val="auto"/>
        </w:rPr>
        <w:fldChar w:fldCharType="separate"/>
      </w:r>
      <w:r>
        <w:rPr>
          <w:rStyle w:val="44"/>
          <w:rFonts w:hint="eastAsia"/>
          <w:color w:val="auto"/>
        </w:rPr>
        <w:t>第二章</w:t>
      </w:r>
      <w:r>
        <w:rPr>
          <w:rStyle w:val="44"/>
          <w:color w:val="auto"/>
        </w:rPr>
        <w:t xml:space="preserve"> </w:t>
      </w:r>
      <w:r>
        <w:rPr>
          <w:rStyle w:val="44"/>
          <w:rFonts w:hint="eastAsia"/>
          <w:color w:val="auto"/>
        </w:rPr>
        <w:t>投标须知</w:t>
      </w:r>
      <w:r>
        <w:rPr>
          <w:rStyle w:val="44"/>
          <w:color w:val="auto"/>
        </w:rPr>
        <w:tab/>
      </w:r>
      <w:r>
        <w:rPr>
          <w:rStyle w:val="44"/>
          <w:color w:val="auto"/>
        </w:rPr>
        <w:fldChar w:fldCharType="begin"/>
      </w:r>
      <w:r>
        <w:rPr>
          <w:rStyle w:val="44"/>
          <w:color w:val="auto"/>
        </w:rPr>
        <w:instrText xml:space="preserve"> PAGEREF _Toc130206640 \h </w:instrText>
      </w:r>
      <w:r>
        <w:rPr>
          <w:rStyle w:val="44"/>
          <w:color w:val="auto"/>
        </w:rPr>
        <w:fldChar w:fldCharType="separate"/>
      </w:r>
      <w:r>
        <w:rPr>
          <w:rStyle w:val="44"/>
          <w:color w:val="auto"/>
        </w:rPr>
        <w:t>5</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"_Toc130206641" \o "#_Toc130206641" </w:instrText>
      </w:r>
      <w:r>
        <w:rPr>
          <w:color w:val="auto"/>
        </w:rPr>
        <w:fldChar w:fldCharType="separate"/>
      </w:r>
      <w:r>
        <w:rPr>
          <w:rStyle w:val="44"/>
          <w:rFonts w:hint="eastAsia"/>
          <w:color w:val="auto"/>
        </w:rPr>
        <w:t>一、投标须知前附表</w:t>
      </w:r>
      <w:r>
        <w:rPr>
          <w:rStyle w:val="44"/>
          <w:color w:val="auto"/>
        </w:rPr>
        <w:tab/>
      </w:r>
      <w:r>
        <w:rPr>
          <w:rStyle w:val="44"/>
          <w:color w:val="auto"/>
        </w:rPr>
        <w:fldChar w:fldCharType="begin"/>
      </w:r>
      <w:r>
        <w:rPr>
          <w:rStyle w:val="44"/>
          <w:color w:val="auto"/>
        </w:rPr>
        <w:instrText xml:space="preserve"> PAGEREF _Toc130206641 \h </w:instrText>
      </w:r>
      <w:r>
        <w:rPr>
          <w:rStyle w:val="44"/>
          <w:color w:val="auto"/>
        </w:rPr>
        <w:fldChar w:fldCharType="separate"/>
      </w:r>
      <w:r>
        <w:rPr>
          <w:rStyle w:val="44"/>
          <w:color w:val="auto"/>
        </w:rPr>
        <w:t>5</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"_Toc130206642" \o "#_Toc130206642" </w:instrText>
      </w:r>
      <w:r>
        <w:rPr>
          <w:color w:val="auto"/>
        </w:rPr>
        <w:fldChar w:fldCharType="separate"/>
      </w:r>
      <w:r>
        <w:rPr>
          <w:rStyle w:val="44"/>
          <w:rFonts w:hint="eastAsia"/>
          <w:color w:val="auto"/>
        </w:rPr>
        <w:t>二、总</w:t>
      </w:r>
      <w:r>
        <w:rPr>
          <w:rStyle w:val="44"/>
          <w:color w:val="auto"/>
        </w:rPr>
        <w:t xml:space="preserve">  </w:t>
      </w:r>
      <w:r>
        <w:rPr>
          <w:rStyle w:val="44"/>
          <w:rFonts w:hint="eastAsia"/>
          <w:color w:val="auto"/>
        </w:rPr>
        <w:t>则</w:t>
      </w:r>
      <w:r>
        <w:rPr>
          <w:rStyle w:val="44"/>
          <w:color w:val="auto"/>
        </w:rPr>
        <w:tab/>
      </w:r>
      <w:r>
        <w:rPr>
          <w:rStyle w:val="44"/>
          <w:color w:val="auto"/>
        </w:rPr>
        <w:fldChar w:fldCharType="begin"/>
      </w:r>
      <w:r>
        <w:rPr>
          <w:rStyle w:val="44"/>
          <w:color w:val="auto"/>
        </w:rPr>
        <w:instrText xml:space="preserve"> PAGEREF _Toc130206642 \h </w:instrText>
      </w:r>
      <w:r>
        <w:rPr>
          <w:rStyle w:val="44"/>
          <w:color w:val="auto"/>
        </w:rPr>
        <w:fldChar w:fldCharType="separate"/>
      </w:r>
      <w:r>
        <w:rPr>
          <w:rStyle w:val="44"/>
          <w:color w:val="auto"/>
        </w:rPr>
        <w:t>6</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"_Toc130206643" \o "#_Toc130206643" </w:instrText>
      </w:r>
      <w:r>
        <w:rPr>
          <w:color w:val="auto"/>
        </w:rPr>
        <w:fldChar w:fldCharType="separate"/>
      </w:r>
      <w:r>
        <w:rPr>
          <w:rStyle w:val="44"/>
          <w:rFonts w:hint="eastAsia"/>
          <w:color w:val="auto"/>
        </w:rPr>
        <w:t>三、招标文件</w:t>
      </w:r>
      <w:r>
        <w:rPr>
          <w:rStyle w:val="44"/>
          <w:color w:val="auto"/>
        </w:rPr>
        <w:tab/>
      </w:r>
      <w:r>
        <w:rPr>
          <w:rStyle w:val="44"/>
          <w:color w:val="auto"/>
        </w:rPr>
        <w:fldChar w:fldCharType="begin"/>
      </w:r>
      <w:r>
        <w:rPr>
          <w:rStyle w:val="44"/>
          <w:color w:val="auto"/>
        </w:rPr>
        <w:instrText xml:space="preserve"> PAGEREF _Toc130206643 \h </w:instrText>
      </w:r>
      <w:r>
        <w:rPr>
          <w:rStyle w:val="44"/>
          <w:color w:val="auto"/>
        </w:rPr>
        <w:fldChar w:fldCharType="separate"/>
      </w:r>
      <w:r>
        <w:rPr>
          <w:rStyle w:val="44"/>
          <w:color w:val="auto"/>
        </w:rPr>
        <w:t>6</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"_Toc130206644" \o "#_Toc130206644" </w:instrText>
      </w:r>
      <w:r>
        <w:rPr>
          <w:color w:val="auto"/>
        </w:rPr>
        <w:fldChar w:fldCharType="separate"/>
      </w:r>
      <w:r>
        <w:rPr>
          <w:rStyle w:val="44"/>
          <w:rFonts w:hint="eastAsia"/>
          <w:color w:val="auto"/>
        </w:rPr>
        <w:t>四、投标文件</w:t>
      </w:r>
      <w:r>
        <w:rPr>
          <w:rStyle w:val="44"/>
          <w:color w:val="auto"/>
        </w:rPr>
        <w:tab/>
      </w:r>
      <w:r>
        <w:rPr>
          <w:rStyle w:val="44"/>
          <w:color w:val="auto"/>
        </w:rPr>
        <w:fldChar w:fldCharType="begin"/>
      </w:r>
      <w:r>
        <w:rPr>
          <w:rStyle w:val="44"/>
          <w:color w:val="auto"/>
        </w:rPr>
        <w:instrText xml:space="preserve"> PAGEREF _Toc130206644 \h </w:instrText>
      </w:r>
      <w:r>
        <w:rPr>
          <w:rStyle w:val="44"/>
          <w:color w:val="auto"/>
        </w:rPr>
        <w:fldChar w:fldCharType="separate"/>
      </w:r>
      <w:r>
        <w:rPr>
          <w:rStyle w:val="44"/>
          <w:color w:val="auto"/>
        </w:rPr>
        <w:t>7</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"_Toc130206645" \o "#_Toc130206645" </w:instrText>
      </w:r>
      <w:r>
        <w:rPr>
          <w:color w:val="auto"/>
        </w:rPr>
        <w:fldChar w:fldCharType="separate"/>
      </w:r>
      <w:r>
        <w:rPr>
          <w:rStyle w:val="44"/>
          <w:rFonts w:hint="eastAsia"/>
          <w:color w:val="auto"/>
        </w:rPr>
        <w:t>五、开标及资格审查</w:t>
      </w:r>
      <w:r>
        <w:rPr>
          <w:rStyle w:val="44"/>
          <w:color w:val="auto"/>
        </w:rPr>
        <w:tab/>
      </w:r>
      <w:r>
        <w:rPr>
          <w:rStyle w:val="44"/>
          <w:color w:val="auto"/>
        </w:rPr>
        <w:fldChar w:fldCharType="begin"/>
      </w:r>
      <w:r>
        <w:rPr>
          <w:rStyle w:val="44"/>
          <w:color w:val="auto"/>
        </w:rPr>
        <w:instrText xml:space="preserve"> PAGEREF _Toc130206645 \h </w:instrText>
      </w:r>
      <w:r>
        <w:rPr>
          <w:rStyle w:val="44"/>
          <w:color w:val="auto"/>
        </w:rPr>
        <w:fldChar w:fldCharType="separate"/>
      </w:r>
      <w:r>
        <w:rPr>
          <w:rStyle w:val="44"/>
          <w:color w:val="auto"/>
        </w:rPr>
        <w:t>12</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"_Toc130206646" \o "#_Toc130206646" </w:instrText>
      </w:r>
      <w:r>
        <w:rPr>
          <w:color w:val="auto"/>
        </w:rPr>
        <w:fldChar w:fldCharType="separate"/>
      </w:r>
      <w:r>
        <w:rPr>
          <w:rStyle w:val="44"/>
          <w:rFonts w:hint="eastAsia"/>
          <w:color w:val="auto"/>
        </w:rPr>
        <w:t>六、评</w:t>
      </w:r>
      <w:r>
        <w:rPr>
          <w:rStyle w:val="44"/>
          <w:color w:val="auto"/>
        </w:rPr>
        <w:t xml:space="preserve">  </w:t>
      </w:r>
      <w:r>
        <w:rPr>
          <w:rStyle w:val="44"/>
          <w:rFonts w:hint="eastAsia"/>
          <w:color w:val="auto"/>
        </w:rPr>
        <w:t>标</w:t>
      </w:r>
      <w:r>
        <w:rPr>
          <w:rStyle w:val="44"/>
          <w:color w:val="auto"/>
        </w:rPr>
        <w:tab/>
      </w:r>
      <w:r>
        <w:rPr>
          <w:rStyle w:val="44"/>
          <w:color w:val="auto"/>
        </w:rPr>
        <w:fldChar w:fldCharType="begin"/>
      </w:r>
      <w:r>
        <w:rPr>
          <w:rStyle w:val="44"/>
          <w:color w:val="auto"/>
        </w:rPr>
        <w:instrText xml:space="preserve"> PAGEREF _Toc130206646 \h </w:instrText>
      </w:r>
      <w:r>
        <w:rPr>
          <w:rStyle w:val="44"/>
          <w:color w:val="auto"/>
        </w:rPr>
        <w:fldChar w:fldCharType="separate"/>
      </w:r>
      <w:r>
        <w:rPr>
          <w:rStyle w:val="44"/>
          <w:color w:val="auto"/>
        </w:rPr>
        <w:t>13</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"_Toc130206647" \o "#_Toc130206647" </w:instrText>
      </w:r>
      <w:r>
        <w:rPr>
          <w:color w:val="auto"/>
        </w:rPr>
        <w:fldChar w:fldCharType="separate"/>
      </w:r>
      <w:r>
        <w:rPr>
          <w:rStyle w:val="44"/>
          <w:rFonts w:hint="eastAsia"/>
          <w:color w:val="auto"/>
        </w:rPr>
        <w:t>七、定</w:t>
      </w:r>
      <w:r>
        <w:rPr>
          <w:rStyle w:val="44"/>
          <w:color w:val="auto"/>
        </w:rPr>
        <w:t xml:space="preserve">  </w:t>
      </w:r>
      <w:r>
        <w:rPr>
          <w:rStyle w:val="44"/>
          <w:rFonts w:hint="eastAsia"/>
          <w:color w:val="auto"/>
        </w:rPr>
        <w:t>标</w:t>
      </w:r>
      <w:r>
        <w:rPr>
          <w:rStyle w:val="44"/>
          <w:color w:val="auto"/>
        </w:rPr>
        <w:tab/>
      </w:r>
      <w:r>
        <w:rPr>
          <w:rStyle w:val="44"/>
          <w:color w:val="auto"/>
        </w:rPr>
        <w:fldChar w:fldCharType="begin"/>
      </w:r>
      <w:r>
        <w:rPr>
          <w:rStyle w:val="44"/>
          <w:color w:val="auto"/>
        </w:rPr>
        <w:instrText xml:space="preserve"> PAGEREF _Toc130206647 \h </w:instrText>
      </w:r>
      <w:r>
        <w:rPr>
          <w:rStyle w:val="44"/>
          <w:color w:val="auto"/>
        </w:rPr>
        <w:fldChar w:fldCharType="separate"/>
      </w:r>
      <w:r>
        <w:rPr>
          <w:rStyle w:val="44"/>
          <w:color w:val="auto"/>
        </w:rPr>
        <w:t>15</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"_Toc130206648" \o "#_Toc130206648" </w:instrText>
      </w:r>
      <w:r>
        <w:rPr>
          <w:color w:val="auto"/>
        </w:rPr>
        <w:fldChar w:fldCharType="separate"/>
      </w:r>
      <w:r>
        <w:rPr>
          <w:rStyle w:val="44"/>
          <w:rFonts w:hint="eastAsia"/>
          <w:color w:val="auto"/>
        </w:rPr>
        <w:t>第三章</w:t>
      </w:r>
      <w:r>
        <w:rPr>
          <w:rStyle w:val="44"/>
          <w:color w:val="auto"/>
        </w:rPr>
        <w:t xml:space="preserve"> </w:t>
      </w:r>
      <w:r>
        <w:rPr>
          <w:rStyle w:val="44"/>
          <w:rFonts w:hint="eastAsia"/>
          <w:color w:val="auto"/>
        </w:rPr>
        <w:t>招标内容及要求</w:t>
      </w:r>
      <w:r>
        <w:rPr>
          <w:rStyle w:val="44"/>
          <w:color w:val="auto"/>
        </w:rPr>
        <w:tab/>
      </w:r>
      <w:r>
        <w:rPr>
          <w:rStyle w:val="44"/>
          <w:color w:val="auto"/>
        </w:rPr>
        <w:fldChar w:fldCharType="begin"/>
      </w:r>
      <w:r>
        <w:rPr>
          <w:rStyle w:val="44"/>
          <w:color w:val="auto"/>
        </w:rPr>
        <w:instrText xml:space="preserve"> PAGEREF _Toc130206648 \h </w:instrText>
      </w:r>
      <w:r>
        <w:rPr>
          <w:rStyle w:val="44"/>
          <w:color w:val="auto"/>
        </w:rPr>
        <w:fldChar w:fldCharType="separate"/>
      </w:r>
      <w:r>
        <w:rPr>
          <w:rStyle w:val="44"/>
          <w:color w:val="auto"/>
        </w:rPr>
        <w:t>19</w:t>
      </w:r>
      <w:r>
        <w:rPr>
          <w:rStyle w:val="44"/>
          <w:color w:val="auto"/>
        </w:rPr>
        <w:fldChar w:fldCharType="end"/>
      </w:r>
      <w:r>
        <w:rPr>
          <w:rStyle w:val="44"/>
          <w:color w:val="auto"/>
        </w:rPr>
        <w:fldChar w:fldCharType="end"/>
      </w:r>
    </w:p>
    <w:p>
      <w:pPr>
        <w:pStyle w:val="28"/>
        <w:tabs>
          <w:tab w:val="right" w:leader="dot" w:pos="9072"/>
          <w:tab w:val="clear" w:pos="9638"/>
        </w:tabs>
        <w:rPr>
          <w:rStyle w:val="44"/>
          <w:rFonts w:hint="eastAsia" w:eastAsia="宋体"/>
          <w:color w:val="auto"/>
          <w:lang w:val="en-US" w:eastAsia="zh-CN"/>
        </w:rPr>
      </w:pPr>
      <w:r>
        <w:rPr>
          <w:color w:val="auto"/>
        </w:rPr>
        <w:fldChar w:fldCharType="begin"/>
      </w:r>
      <w:r>
        <w:rPr>
          <w:color w:val="auto"/>
        </w:rPr>
        <w:instrText xml:space="preserve"> HYPERLINK \l "_Toc130206649" \o "#_Toc130206649" </w:instrText>
      </w:r>
      <w:r>
        <w:rPr>
          <w:color w:val="auto"/>
        </w:rPr>
        <w:fldChar w:fldCharType="separate"/>
      </w:r>
      <w:r>
        <w:rPr>
          <w:rStyle w:val="44"/>
          <w:rFonts w:hint="eastAsia"/>
          <w:color w:val="auto"/>
        </w:rPr>
        <w:t>第四章</w:t>
      </w:r>
      <w:r>
        <w:rPr>
          <w:rStyle w:val="44"/>
          <w:color w:val="auto"/>
        </w:rPr>
        <w:t xml:space="preserve"> </w:t>
      </w:r>
      <w:r>
        <w:rPr>
          <w:rStyle w:val="44"/>
          <w:rFonts w:hint="eastAsia"/>
          <w:color w:val="auto"/>
        </w:rPr>
        <w:t>评标办法及评分标准</w:t>
      </w:r>
      <w:r>
        <w:rPr>
          <w:rStyle w:val="44"/>
          <w:color w:val="auto"/>
        </w:rPr>
        <w:tab/>
      </w:r>
      <w:r>
        <w:rPr>
          <w:rStyle w:val="44"/>
          <w:rFonts w:hint="eastAsia"/>
          <w:color w:val="auto"/>
          <w:lang w:val="en-US" w:eastAsia="zh-CN"/>
        </w:rPr>
        <w:t>6</w:t>
      </w:r>
      <w:r>
        <w:rPr>
          <w:rStyle w:val="44"/>
          <w:rFonts w:hint="eastAsia"/>
          <w:color w:val="auto"/>
        </w:rPr>
        <w:fldChar w:fldCharType="end"/>
      </w:r>
      <w:r>
        <w:rPr>
          <w:rStyle w:val="44"/>
          <w:rFonts w:hint="eastAsia"/>
          <w:color w:val="auto"/>
          <w:lang w:val="en-US" w:eastAsia="zh-CN"/>
        </w:rPr>
        <w:t>0</w:t>
      </w:r>
    </w:p>
    <w:p>
      <w:pPr>
        <w:pStyle w:val="28"/>
        <w:tabs>
          <w:tab w:val="right" w:leader="dot" w:pos="9072"/>
          <w:tab w:val="clear" w:pos="9638"/>
        </w:tabs>
        <w:rPr>
          <w:rStyle w:val="44"/>
          <w:rFonts w:hint="default" w:eastAsia="宋体"/>
          <w:color w:val="auto"/>
          <w:lang w:val="en-US" w:eastAsia="zh-CN"/>
        </w:rPr>
      </w:pPr>
      <w:r>
        <w:rPr>
          <w:color w:val="auto"/>
        </w:rPr>
        <w:fldChar w:fldCharType="begin"/>
      </w:r>
      <w:r>
        <w:rPr>
          <w:color w:val="auto"/>
        </w:rPr>
        <w:instrText xml:space="preserve"> HYPERLINK \l "_Toc130206650" \o "#_Toc130206650" </w:instrText>
      </w:r>
      <w:r>
        <w:rPr>
          <w:color w:val="auto"/>
        </w:rPr>
        <w:fldChar w:fldCharType="separate"/>
      </w:r>
      <w:r>
        <w:rPr>
          <w:rStyle w:val="44"/>
          <w:rFonts w:hint="eastAsia"/>
          <w:color w:val="auto"/>
        </w:rPr>
        <w:t>第五章</w:t>
      </w:r>
      <w:r>
        <w:rPr>
          <w:rStyle w:val="44"/>
          <w:color w:val="auto"/>
        </w:rPr>
        <w:t xml:space="preserve"> </w:t>
      </w:r>
      <w:r>
        <w:rPr>
          <w:rStyle w:val="44"/>
          <w:rFonts w:hint="eastAsia"/>
          <w:color w:val="auto"/>
        </w:rPr>
        <w:t>合同主要条款</w:t>
      </w:r>
      <w:r>
        <w:rPr>
          <w:rStyle w:val="44"/>
          <w:color w:val="auto"/>
        </w:rPr>
        <w:tab/>
      </w:r>
      <w:r>
        <w:rPr>
          <w:rStyle w:val="44"/>
          <w:rFonts w:hint="eastAsia"/>
          <w:color w:val="auto"/>
        </w:rPr>
        <w:fldChar w:fldCharType="end"/>
      </w:r>
      <w:r>
        <w:rPr>
          <w:rStyle w:val="44"/>
          <w:rFonts w:hint="eastAsia"/>
          <w:color w:val="auto"/>
          <w:lang w:val="en-US" w:eastAsia="zh-CN"/>
        </w:rPr>
        <w:t>63</w:t>
      </w:r>
    </w:p>
    <w:p>
      <w:pPr>
        <w:pStyle w:val="28"/>
        <w:tabs>
          <w:tab w:val="right" w:leader="dot" w:pos="9072"/>
          <w:tab w:val="clear" w:pos="9638"/>
        </w:tabs>
        <w:rPr>
          <w:rStyle w:val="44"/>
          <w:rFonts w:hint="eastAsia" w:eastAsia="宋体"/>
          <w:color w:val="auto"/>
          <w:lang w:val="en-US" w:eastAsia="zh-CN"/>
        </w:rPr>
      </w:pPr>
      <w:r>
        <w:rPr>
          <w:color w:val="auto"/>
        </w:rPr>
        <w:fldChar w:fldCharType="begin"/>
      </w:r>
      <w:r>
        <w:rPr>
          <w:color w:val="auto"/>
        </w:rPr>
        <w:instrText xml:space="preserve"> HYPERLINK \l "_Toc130206652" \o "#_Toc130206652" </w:instrText>
      </w:r>
      <w:r>
        <w:rPr>
          <w:color w:val="auto"/>
        </w:rPr>
        <w:fldChar w:fldCharType="separate"/>
      </w:r>
      <w:r>
        <w:rPr>
          <w:rStyle w:val="44"/>
          <w:rFonts w:hint="eastAsia"/>
          <w:color w:val="auto"/>
        </w:rPr>
        <w:t>第六章</w:t>
      </w:r>
      <w:r>
        <w:rPr>
          <w:rStyle w:val="44"/>
          <w:color w:val="auto"/>
        </w:rPr>
        <w:t xml:space="preserve"> </w:t>
      </w:r>
      <w:r>
        <w:rPr>
          <w:rStyle w:val="44"/>
          <w:rFonts w:hint="eastAsia"/>
          <w:color w:val="auto"/>
        </w:rPr>
        <w:t>投标文件及格式</w:t>
      </w:r>
      <w:r>
        <w:rPr>
          <w:rStyle w:val="44"/>
          <w:color w:val="auto"/>
        </w:rPr>
        <w:tab/>
      </w:r>
      <w:r>
        <w:rPr>
          <w:rStyle w:val="44"/>
          <w:rFonts w:hint="eastAsia"/>
          <w:color w:val="auto"/>
          <w:lang w:val="en-US" w:eastAsia="zh-CN"/>
        </w:rPr>
        <w:t>6</w:t>
      </w:r>
      <w:r>
        <w:rPr>
          <w:rStyle w:val="44"/>
          <w:color w:val="auto"/>
        </w:rPr>
        <w:fldChar w:fldCharType="end"/>
      </w:r>
      <w:r>
        <w:rPr>
          <w:rStyle w:val="44"/>
          <w:rFonts w:hint="eastAsia"/>
          <w:color w:val="auto"/>
          <w:lang w:val="en-US" w:eastAsia="zh-CN"/>
        </w:rPr>
        <w:t>7</w:t>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"_Toc130206653" \o "#_Toc130206653" </w:instrText>
      </w:r>
      <w:r>
        <w:rPr>
          <w:color w:val="auto"/>
        </w:rPr>
        <w:fldChar w:fldCharType="separate"/>
      </w:r>
      <w:r>
        <w:rPr>
          <w:rStyle w:val="44"/>
          <w:rFonts w:hint="eastAsia"/>
          <w:color w:val="auto"/>
        </w:rPr>
        <w:t>（一）开标一览表</w:t>
      </w:r>
      <w:r>
        <w:rPr>
          <w:rStyle w:val="44"/>
          <w:color w:val="auto"/>
        </w:rPr>
        <w:tab/>
      </w:r>
      <w:r>
        <w:rPr>
          <w:rStyle w:val="44"/>
          <w:color w:val="auto"/>
        </w:rPr>
        <w:fldChar w:fldCharType="begin"/>
      </w:r>
      <w:r>
        <w:rPr>
          <w:rStyle w:val="44"/>
          <w:color w:val="auto"/>
        </w:rPr>
        <w:instrText xml:space="preserve"> PAGEREF _Toc130206653 \h </w:instrText>
      </w:r>
      <w:r>
        <w:rPr>
          <w:rStyle w:val="44"/>
          <w:color w:val="auto"/>
        </w:rPr>
        <w:fldChar w:fldCharType="separate"/>
      </w:r>
      <w:r>
        <w:rPr>
          <w:rStyle w:val="44"/>
          <w:color w:val="auto"/>
        </w:rPr>
        <w:t>67</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"_Toc130206654" \o "#_Toc130206654" </w:instrText>
      </w:r>
      <w:r>
        <w:rPr>
          <w:color w:val="auto"/>
        </w:rPr>
        <w:fldChar w:fldCharType="separate"/>
      </w:r>
      <w:r>
        <w:rPr>
          <w:rStyle w:val="44"/>
          <w:rFonts w:hint="eastAsia"/>
          <w:color w:val="auto"/>
        </w:rPr>
        <w:t>（二）投标函</w:t>
      </w:r>
      <w:r>
        <w:rPr>
          <w:rStyle w:val="44"/>
          <w:color w:val="auto"/>
        </w:rPr>
        <w:tab/>
      </w:r>
      <w:r>
        <w:rPr>
          <w:rStyle w:val="44"/>
          <w:color w:val="auto"/>
        </w:rPr>
        <w:fldChar w:fldCharType="begin"/>
      </w:r>
      <w:r>
        <w:rPr>
          <w:rStyle w:val="44"/>
          <w:color w:val="auto"/>
        </w:rPr>
        <w:instrText xml:space="preserve"> PAGEREF _Toc130206654 \h </w:instrText>
      </w:r>
      <w:r>
        <w:rPr>
          <w:rStyle w:val="44"/>
          <w:color w:val="auto"/>
        </w:rPr>
        <w:fldChar w:fldCharType="separate"/>
      </w:r>
      <w:r>
        <w:rPr>
          <w:rStyle w:val="44"/>
          <w:color w:val="auto"/>
        </w:rPr>
        <w:t>68</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"_Toc130206655" \o "#_Toc130206655" </w:instrText>
      </w:r>
      <w:r>
        <w:rPr>
          <w:color w:val="auto"/>
        </w:rPr>
        <w:fldChar w:fldCharType="separate"/>
      </w:r>
      <w:r>
        <w:rPr>
          <w:rStyle w:val="44"/>
          <w:rFonts w:hint="eastAsia"/>
          <w:color w:val="auto"/>
        </w:rPr>
        <w:t>（三）无重大违法记录声明函</w:t>
      </w:r>
      <w:r>
        <w:rPr>
          <w:rStyle w:val="44"/>
          <w:color w:val="auto"/>
        </w:rPr>
        <w:tab/>
      </w:r>
      <w:r>
        <w:rPr>
          <w:rStyle w:val="44"/>
          <w:color w:val="auto"/>
        </w:rPr>
        <w:fldChar w:fldCharType="begin"/>
      </w:r>
      <w:r>
        <w:rPr>
          <w:rStyle w:val="44"/>
          <w:color w:val="auto"/>
        </w:rPr>
        <w:instrText xml:space="preserve"> PAGEREF _Toc130206655 \h </w:instrText>
      </w:r>
      <w:r>
        <w:rPr>
          <w:rStyle w:val="44"/>
          <w:color w:val="auto"/>
        </w:rPr>
        <w:fldChar w:fldCharType="separate"/>
      </w:r>
      <w:r>
        <w:rPr>
          <w:rStyle w:val="44"/>
          <w:color w:val="auto"/>
        </w:rPr>
        <w:t>69</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"_Toc130206656" \o "#_Toc130206656" </w:instrText>
      </w:r>
      <w:r>
        <w:rPr>
          <w:color w:val="auto"/>
        </w:rPr>
        <w:fldChar w:fldCharType="separate"/>
      </w:r>
      <w:r>
        <w:rPr>
          <w:rStyle w:val="44"/>
          <w:rFonts w:hint="eastAsia"/>
          <w:color w:val="auto"/>
        </w:rPr>
        <w:t>（四）供应商登记表</w:t>
      </w:r>
      <w:r>
        <w:rPr>
          <w:rStyle w:val="44"/>
          <w:color w:val="auto"/>
        </w:rPr>
        <w:tab/>
      </w:r>
      <w:r>
        <w:rPr>
          <w:rStyle w:val="44"/>
          <w:color w:val="auto"/>
        </w:rPr>
        <w:fldChar w:fldCharType="begin"/>
      </w:r>
      <w:r>
        <w:rPr>
          <w:rStyle w:val="44"/>
          <w:color w:val="auto"/>
        </w:rPr>
        <w:instrText xml:space="preserve"> PAGEREF _Toc130206656 \h </w:instrText>
      </w:r>
      <w:r>
        <w:rPr>
          <w:rStyle w:val="44"/>
          <w:color w:val="auto"/>
        </w:rPr>
        <w:fldChar w:fldCharType="separate"/>
      </w:r>
      <w:r>
        <w:rPr>
          <w:rStyle w:val="44"/>
          <w:color w:val="auto"/>
        </w:rPr>
        <w:t>70</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"_Toc130206657" \o "#_Toc130206657" </w:instrText>
      </w:r>
      <w:r>
        <w:rPr>
          <w:color w:val="auto"/>
        </w:rPr>
        <w:fldChar w:fldCharType="separate"/>
      </w:r>
      <w:r>
        <w:rPr>
          <w:rStyle w:val="44"/>
          <w:rFonts w:hint="eastAsia"/>
          <w:color w:val="auto"/>
        </w:rPr>
        <w:t>（五）法定代表人身份证明书</w:t>
      </w:r>
      <w:r>
        <w:rPr>
          <w:rStyle w:val="44"/>
          <w:color w:val="auto"/>
        </w:rPr>
        <w:tab/>
      </w:r>
      <w:r>
        <w:rPr>
          <w:rStyle w:val="44"/>
          <w:color w:val="auto"/>
        </w:rPr>
        <w:fldChar w:fldCharType="begin"/>
      </w:r>
      <w:r>
        <w:rPr>
          <w:rStyle w:val="44"/>
          <w:color w:val="auto"/>
        </w:rPr>
        <w:instrText xml:space="preserve"> PAGEREF _Toc130206657 \h </w:instrText>
      </w:r>
      <w:r>
        <w:rPr>
          <w:rStyle w:val="44"/>
          <w:color w:val="auto"/>
        </w:rPr>
        <w:fldChar w:fldCharType="separate"/>
      </w:r>
      <w:r>
        <w:rPr>
          <w:rStyle w:val="44"/>
          <w:color w:val="auto"/>
        </w:rPr>
        <w:t>71</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"_Toc130206658" \o "#_Toc130206658" </w:instrText>
      </w:r>
      <w:r>
        <w:rPr>
          <w:color w:val="auto"/>
        </w:rPr>
        <w:fldChar w:fldCharType="separate"/>
      </w:r>
      <w:r>
        <w:rPr>
          <w:rStyle w:val="44"/>
          <w:rFonts w:hint="eastAsia"/>
          <w:color w:val="auto"/>
        </w:rPr>
        <w:t>（六）法定代表人授权委托书</w:t>
      </w:r>
      <w:r>
        <w:rPr>
          <w:rStyle w:val="44"/>
          <w:color w:val="auto"/>
        </w:rPr>
        <w:tab/>
      </w:r>
      <w:r>
        <w:rPr>
          <w:rStyle w:val="44"/>
          <w:color w:val="auto"/>
        </w:rPr>
        <w:fldChar w:fldCharType="begin"/>
      </w:r>
      <w:r>
        <w:rPr>
          <w:rStyle w:val="44"/>
          <w:color w:val="auto"/>
        </w:rPr>
        <w:instrText xml:space="preserve"> PAGEREF _Toc130206658 \h </w:instrText>
      </w:r>
      <w:r>
        <w:rPr>
          <w:rStyle w:val="44"/>
          <w:color w:val="auto"/>
        </w:rPr>
        <w:fldChar w:fldCharType="separate"/>
      </w:r>
      <w:r>
        <w:rPr>
          <w:rStyle w:val="44"/>
          <w:color w:val="auto"/>
        </w:rPr>
        <w:t>72</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"_Toc130206659" \o "#_Toc130206659" </w:instrText>
      </w:r>
      <w:r>
        <w:rPr>
          <w:color w:val="auto"/>
        </w:rPr>
        <w:fldChar w:fldCharType="separate"/>
      </w:r>
      <w:r>
        <w:rPr>
          <w:rStyle w:val="44"/>
          <w:rFonts w:hint="eastAsia"/>
          <w:color w:val="auto"/>
        </w:rPr>
        <w:t>（七）公共资源交易投标信用承诺书</w:t>
      </w:r>
      <w:r>
        <w:rPr>
          <w:rStyle w:val="44"/>
          <w:color w:val="auto"/>
        </w:rPr>
        <w:tab/>
      </w:r>
      <w:r>
        <w:rPr>
          <w:rStyle w:val="44"/>
          <w:color w:val="auto"/>
        </w:rPr>
        <w:fldChar w:fldCharType="begin"/>
      </w:r>
      <w:r>
        <w:rPr>
          <w:rStyle w:val="44"/>
          <w:color w:val="auto"/>
        </w:rPr>
        <w:instrText xml:space="preserve"> PAGEREF _Toc130206659 \h </w:instrText>
      </w:r>
      <w:r>
        <w:rPr>
          <w:rStyle w:val="44"/>
          <w:color w:val="auto"/>
        </w:rPr>
        <w:fldChar w:fldCharType="separate"/>
      </w:r>
      <w:r>
        <w:rPr>
          <w:rStyle w:val="44"/>
          <w:color w:val="auto"/>
        </w:rPr>
        <w:t>73</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"_Toc130206660" \o "#_Toc130206660" </w:instrText>
      </w:r>
      <w:r>
        <w:rPr>
          <w:color w:val="auto"/>
        </w:rPr>
        <w:fldChar w:fldCharType="separate"/>
      </w:r>
      <w:r>
        <w:rPr>
          <w:rStyle w:val="44"/>
          <w:rFonts w:hint="eastAsia"/>
          <w:color w:val="auto"/>
        </w:rPr>
        <w:t>（八）建湖县政府采购事前信用承诺书</w:t>
      </w:r>
      <w:r>
        <w:rPr>
          <w:rStyle w:val="44"/>
          <w:color w:val="auto"/>
        </w:rPr>
        <w:tab/>
      </w:r>
      <w:r>
        <w:rPr>
          <w:rStyle w:val="44"/>
          <w:color w:val="auto"/>
        </w:rPr>
        <w:fldChar w:fldCharType="begin"/>
      </w:r>
      <w:r>
        <w:rPr>
          <w:rStyle w:val="44"/>
          <w:color w:val="auto"/>
        </w:rPr>
        <w:instrText xml:space="preserve"> PAGEREF _Toc130206660 \h </w:instrText>
      </w:r>
      <w:r>
        <w:rPr>
          <w:rStyle w:val="44"/>
          <w:color w:val="auto"/>
        </w:rPr>
        <w:fldChar w:fldCharType="separate"/>
      </w:r>
      <w:r>
        <w:rPr>
          <w:rStyle w:val="44"/>
          <w:color w:val="auto"/>
        </w:rPr>
        <w:t>74</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"_Toc130206661" \o "#_Toc130206661" </w:instrText>
      </w:r>
      <w:r>
        <w:rPr>
          <w:color w:val="auto"/>
        </w:rPr>
        <w:fldChar w:fldCharType="separate"/>
      </w:r>
      <w:r>
        <w:rPr>
          <w:rStyle w:val="44"/>
          <w:rFonts w:hint="eastAsia"/>
          <w:color w:val="auto"/>
        </w:rPr>
        <w:t>（九）中小企业声明函（服务）（如有）</w:t>
      </w:r>
      <w:r>
        <w:rPr>
          <w:rStyle w:val="44"/>
          <w:color w:val="auto"/>
        </w:rPr>
        <w:tab/>
      </w:r>
      <w:r>
        <w:rPr>
          <w:rStyle w:val="44"/>
          <w:color w:val="auto"/>
        </w:rPr>
        <w:fldChar w:fldCharType="begin"/>
      </w:r>
      <w:r>
        <w:rPr>
          <w:rStyle w:val="44"/>
          <w:color w:val="auto"/>
        </w:rPr>
        <w:instrText xml:space="preserve"> PAGEREF _Toc130206661 \h </w:instrText>
      </w:r>
      <w:r>
        <w:rPr>
          <w:rStyle w:val="44"/>
          <w:color w:val="auto"/>
        </w:rPr>
        <w:fldChar w:fldCharType="separate"/>
      </w:r>
      <w:r>
        <w:rPr>
          <w:rStyle w:val="44"/>
          <w:color w:val="auto"/>
        </w:rPr>
        <w:t>75</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"_Toc130206662" \o "#_Toc130206662" </w:instrText>
      </w:r>
      <w:r>
        <w:rPr>
          <w:color w:val="auto"/>
        </w:rPr>
        <w:fldChar w:fldCharType="separate"/>
      </w:r>
      <w:r>
        <w:rPr>
          <w:rStyle w:val="44"/>
          <w:rFonts w:hint="eastAsia"/>
          <w:color w:val="auto"/>
        </w:rPr>
        <w:t>（十）残疾人福利性单位声明函（如有）</w:t>
      </w:r>
      <w:r>
        <w:rPr>
          <w:rStyle w:val="44"/>
          <w:color w:val="auto"/>
        </w:rPr>
        <w:tab/>
      </w:r>
      <w:r>
        <w:rPr>
          <w:rStyle w:val="44"/>
          <w:color w:val="auto"/>
        </w:rPr>
        <w:fldChar w:fldCharType="begin"/>
      </w:r>
      <w:r>
        <w:rPr>
          <w:rStyle w:val="44"/>
          <w:color w:val="auto"/>
        </w:rPr>
        <w:instrText xml:space="preserve"> PAGEREF _Toc130206662 \h </w:instrText>
      </w:r>
      <w:r>
        <w:rPr>
          <w:rStyle w:val="44"/>
          <w:color w:val="auto"/>
        </w:rPr>
        <w:fldChar w:fldCharType="separate"/>
      </w:r>
      <w:r>
        <w:rPr>
          <w:rStyle w:val="44"/>
          <w:color w:val="auto"/>
        </w:rPr>
        <w:t>76</w:t>
      </w:r>
      <w:r>
        <w:rPr>
          <w:rStyle w:val="44"/>
          <w:color w:val="auto"/>
        </w:rPr>
        <w:fldChar w:fldCharType="end"/>
      </w:r>
      <w:r>
        <w:rPr>
          <w:rStyle w:val="44"/>
          <w:color w:val="auto"/>
        </w:rPr>
        <w:fldChar w:fldCharType="end"/>
      </w:r>
    </w:p>
    <w:p>
      <w:pPr>
        <w:pStyle w:val="28"/>
        <w:tabs>
          <w:tab w:val="right" w:leader="dot" w:pos="9072"/>
          <w:tab w:val="clear" w:pos="9638"/>
        </w:tabs>
        <w:rPr>
          <w:rStyle w:val="44"/>
          <w:color w:val="auto"/>
        </w:rPr>
      </w:pPr>
      <w:r>
        <w:rPr>
          <w:color w:val="auto"/>
        </w:rPr>
        <w:fldChar w:fldCharType="begin"/>
      </w:r>
      <w:r>
        <w:rPr>
          <w:color w:val="auto"/>
        </w:rPr>
        <w:instrText xml:space="preserve"> HYPERLINK \l "_Toc130206663" \o "#_Toc130206663" </w:instrText>
      </w:r>
      <w:r>
        <w:rPr>
          <w:color w:val="auto"/>
        </w:rPr>
        <w:fldChar w:fldCharType="separate"/>
      </w:r>
      <w:r>
        <w:rPr>
          <w:rStyle w:val="44"/>
          <w:rFonts w:hint="eastAsia"/>
          <w:color w:val="auto"/>
        </w:rPr>
        <w:t>（十一）清单报价表</w:t>
      </w:r>
      <w:r>
        <w:rPr>
          <w:rStyle w:val="44"/>
          <w:color w:val="auto"/>
        </w:rPr>
        <w:tab/>
      </w:r>
      <w:r>
        <w:rPr>
          <w:rStyle w:val="44"/>
          <w:color w:val="auto"/>
        </w:rPr>
        <w:fldChar w:fldCharType="begin"/>
      </w:r>
      <w:r>
        <w:rPr>
          <w:rStyle w:val="44"/>
          <w:color w:val="auto"/>
        </w:rPr>
        <w:instrText xml:space="preserve"> PAGEREF _Toc130206663 \h </w:instrText>
      </w:r>
      <w:r>
        <w:rPr>
          <w:rStyle w:val="44"/>
          <w:color w:val="auto"/>
        </w:rPr>
        <w:fldChar w:fldCharType="separate"/>
      </w:r>
      <w:r>
        <w:rPr>
          <w:rStyle w:val="44"/>
          <w:color w:val="auto"/>
        </w:rPr>
        <w:t>77</w:t>
      </w:r>
      <w:r>
        <w:rPr>
          <w:rStyle w:val="44"/>
          <w:color w:val="auto"/>
        </w:rPr>
        <w:fldChar w:fldCharType="end"/>
      </w:r>
      <w:r>
        <w:rPr>
          <w:rStyle w:val="44"/>
          <w:color w:val="auto"/>
        </w:rPr>
        <w:fldChar w:fldCharType="end"/>
      </w:r>
    </w:p>
    <w:p>
      <w:pPr>
        <w:pStyle w:val="28"/>
        <w:tabs>
          <w:tab w:val="right" w:leader="dot" w:pos="9072"/>
          <w:tab w:val="clear" w:pos="9638"/>
        </w:tabs>
        <w:rPr>
          <w:rStyle w:val="44"/>
          <w:rFonts w:hint="eastAsia" w:eastAsia="宋体"/>
          <w:color w:val="auto"/>
          <w:lang w:val="en-US" w:eastAsia="zh-CN"/>
        </w:rPr>
      </w:pPr>
      <w:r>
        <w:rPr>
          <w:color w:val="auto"/>
        </w:rPr>
        <w:fldChar w:fldCharType="begin"/>
      </w:r>
      <w:r>
        <w:rPr>
          <w:color w:val="auto"/>
        </w:rPr>
        <w:instrText xml:space="preserve"> HYPERLINK \l "_Toc130206666" \o "#_Toc130206666" </w:instrText>
      </w:r>
      <w:r>
        <w:rPr>
          <w:color w:val="auto"/>
        </w:rPr>
        <w:fldChar w:fldCharType="separate"/>
      </w:r>
      <w:r>
        <w:rPr>
          <w:rStyle w:val="44"/>
          <w:rFonts w:hint="eastAsia"/>
          <w:color w:val="auto"/>
        </w:rPr>
        <w:t>（十二）技术响应表</w:t>
      </w:r>
      <w:r>
        <w:rPr>
          <w:rStyle w:val="44"/>
          <w:color w:val="auto"/>
        </w:rPr>
        <w:tab/>
      </w:r>
      <w:r>
        <w:rPr>
          <w:rStyle w:val="44"/>
          <w:rFonts w:hint="eastAsia"/>
          <w:color w:val="auto"/>
          <w:lang w:val="en-US" w:eastAsia="zh-CN"/>
        </w:rPr>
        <w:t>7</w:t>
      </w:r>
      <w:r>
        <w:rPr>
          <w:rStyle w:val="44"/>
          <w:rFonts w:hint="eastAsia"/>
          <w:color w:val="auto"/>
        </w:rPr>
        <w:fldChar w:fldCharType="end"/>
      </w:r>
      <w:r>
        <w:rPr>
          <w:rStyle w:val="44"/>
          <w:rFonts w:hint="eastAsia"/>
          <w:color w:val="auto"/>
          <w:lang w:val="en-US" w:eastAsia="zh-CN"/>
        </w:rPr>
        <w:t>9</w:t>
      </w:r>
    </w:p>
    <w:p>
      <w:pPr>
        <w:pStyle w:val="28"/>
        <w:tabs>
          <w:tab w:val="right" w:leader="dot" w:pos="9072"/>
          <w:tab w:val="clear" w:pos="9638"/>
        </w:tabs>
        <w:rPr>
          <w:rStyle w:val="44"/>
          <w:rFonts w:hint="eastAsia" w:eastAsia="宋体"/>
          <w:color w:val="auto"/>
          <w:lang w:val="en-US" w:eastAsia="zh-CN"/>
        </w:rPr>
      </w:pPr>
      <w:r>
        <w:rPr>
          <w:color w:val="auto"/>
        </w:rPr>
        <w:fldChar w:fldCharType="begin"/>
      </w:r>
      <w:r>
        <w:rPr>
          <w:color w:val="auto"/>
        </w:rPr>
        <w:instrText xml:space="preserve"> HYPERLINK \l "_Toc130206667" \o "#_Toc130206667" </w:instrText>
      </w:r>
      <w:r>
        <w:rPr>
          <w:color w:val="auto"/>
        </w:rPr>
        <w:fldChar w:fldCharType="separate"/>
      </w:r>
      <w:r>
        <w:rPr>
          <w:rStyle w:val="44"/>
          <w:rFonts w:hint="eastAsia"/>
          <w:color w:val="auto"/>
        </w:rPr>
        <w:t>（十三）具备履行合同所必需的设备和专业技术能力的声明函</w:t>
      </w:r>
      <w:r>
        <w:rPr>
          <w:rStyle w:val="44"/>
          <w:color w:val="auto"/>
        </w:rPr>
        <w:tab/>
      </w:r>
      <w:r>
        <w:rPr>
          <w:rStyle w:val="44"/>
          <w:rFonts w:hint="eastAsia"/>
          <w:color w:val="auto"/>
          <w:lang w:val="en-US" w:eastAsia="zh-CN"/>
        </w:rPr>
        <w:t>8</w:t>
      </w:r>
      <w:r>
        <w:rPr>
          <w:rStyle w:val="44"/>
          <w:rFonts w:hint="eastAsia"/>
          <w:color w:val="auto"/>
        </w:rPr>
        <w:fldChar w:fldCharType="end"/>
      </w:r>
      <w:r>
        <w:rPr>
          <w:rStyle w:val="44"/>
          <w:rFonts w:hint="eastAsia"/>
          <w:color w:val="auto"/>
          <w:lang w:val="en-US" w:eastAsia="zh-CN"/>
        </w:rPr>
        <w:t>0</w:t>
      </w:r>
    </w:p>
    <w:p>
      <w:pPr>
        <w:pStyle w:val="28"/>
        <w:tabs>
          <w:tab w:val="right" w:leader="dot" w:pos="9072"/>
          <w:tab w:val="clear" w:pos="9638"/>
        </w:tabs>
        <w:rPr>
          <w:rStyle w:val="44"/>
          <w:rFonts w:hint="eastAsia" w:eastAsia="宋体"/>
          <w:color w:val="auto"/>
          <w:lang w:val="en-US" w:eastAsia="zh-CN"/>
        </w:rPr>
      </w:pPr>
      <w:r>
        <w:rPr>
          <w:color w:val="auto"/>
        </w:rPr>
        <w:fldChar w:fldCharType="begin"/>
      </w:r>
      <w:r>
        <w:rPr>
          <w:color w:val="auto"/>
        </w:rPr>
        <w:instrText xml:space="preserve"> HYPERLINK \l "_Toc130206668" \o "#_Toc130206668" </w:instrText>
      </w:r>
      <w:r>
        <w:rPr>
          <w:color w:val="auto"/>
        </w:rPr>
        <w:fldChar w:fldCharType="separate"/>
      </w:r>
      <w:r>
        <w:rPr>
          <w:rStyle w:val="44"/>
          <w:rFonts w:hint="eastAsia"/>
          <w:color w:val="auto"/>
        </w:rPr>
        <w:t>（十四）服务承诺书</w:t>
      </w:r>
      <w:r>
        <w:rPr>
          <w:rStyle w:val="44"/>
          <w:color w:val="auto"/>
        </w:rPr>
        <w:tab/>
      </w:r>
      <w:r>
        <w:rPr>
          <w:rStyle w:val="44"/>
          <w:rFonts w:hint="eastAsia"/>
          <w:color w:val="auto"/>
          <w:lang w:val="en-US" w:eastAsia="zh-CN"/>
        </w:rPr>
        <w:t>8</w:t>
      </w:r>
      <w:r>
        <w:rPr>
          <w:rStyle w:val="44"/>
          <w:rFonts w:hint="eastAsia"/>
          <w:color w:val="auto"/>
        </w:rPr>
        <w:fldChar w:fldCharType="end"/>
      </w:r>
      <w:r>
        <w:rPr>
          <w:rStyle w:val="44"/>
          <w:rFonts w:hint="eastAsia"/>
          <w:color w:val="auto"/>
          <w:lang w:val="en-US" w:eastAsia="zh-CN"/>
        </w:rPr>
        <w:t>1</w:t>
      </w:r>
    </w:p>
    <w:p>
      <w:pPr>
        <w:pStyle w:val="28"/>
        <w:tabs>
          <w:tab w:val="right" w:leader="dot" w:pos="9072"/>
          <w:tab w:val="clear" w:pos="9638"/>
        </w:tabs>
        <w:rPr>
          <w:rStyle w:val="44"/>
          <w:rFonts w:hint="eastAsia" w:eastAsia="宋体"/>
          <w:color w:val="auto"/>
          <w:lang w:val="en-US" w:eastAsia="zh-CN"/>
        </w:rPr>
      </w:pPr>
      <w:r>
        <w:rPr>
          <w:color w:val="auto"/>
        </w:rPr>
        <w:fldChar w:fldCharType="begin"/>
      </w:r>
      <w:r>
        <w:rPr>
          <w:color w:val="auto"/>
        </w:rPr>
        <w:instrText xml:space="preserve"> HYPERLINK \l "_Toc130206670" \o "#_Toc130206670" </w:instrText>
      </w:r>
      <w:r>
        <w:rPr>
          <w:color w:val="auto"/>
        </w:rPr>
        <w:fldChar w:fldCharType="separate"/>
      </w:r>
      <w:r>
        <w:rPr>
          <w:rStyle w:val="44"/>
          <w:rFonts w:hint="eastAsia"/>
          <w:color w:val="auto"/>
        </w:rPr>
        <w:t>（十五）项目业绩汇总表</w:t>
      </w:r>
      <w:r>
        <w:rPr>
          <w:rStyle w:val="44"/>
          <w:color w:val="auto"/>
        </w:rPr>
        <w:tab/>
      </w:r>
      <w:r>
        <w:rPr>
          <w:rStyle w:val="44"/>
          <w:rFonts w:hint="eastAsia"/>
          <w:color w:val="auto"/>
          <w:lang w:val="en-US" w:eastAsia="zh-CN"/>
        </w:rPr>
        <w:t>8</w:t>
      </w:r>
      <w:r>
        <w:rPr>
          <w:rStyle w:val="44"/>
          <w:rFonts w:hint="eastAsia"/>
          <w:color w:val="auto"/>
        </w:rPr>
        <w:fldChar w:fldCharType="end"/>
      </w:r>
      <w:r>
        <w:rPr>
          <w:rStyle w:val="44"/>
          <w:rFonts w:hint="eastAsia"/>
          <w:color w:val="auto"/>
          <w:lang w:val="en-US" w:eastAsia="zh-CN"/>
        </w:rPr>
        <w:t>2</w:t>
      </w:r>
    </w:p>
    <w:p>
      <w:pPr>
        <w:pStyle w:val="28"/>
        <w:tabs>
          <w:tab w:val="right" w:leader="dot" w:pos="9072"/>
          <w:tab w:val="clear" w:pos="9638"/>
        </w:tabs>
        <w:rPr>
          <w:rStyle w:val="44"/>
          <w:rFonts w:hint="eastAsia" w:eastAsia="宋体"/>
          <w:color w:val="auto"/>
          <w:lang w:val="en-US" w:eastAsia="zh-CN"/>
        </w:rPr>
      </w:pPr>
      <w:r>
        <w:rPr>
          <w:color w:val="auto"/>
        </w:rPr>
        <w:fldChar w:fldCharType="begin"/>
      </w:r>
      <w:r>
        <w:rPr>
          <w:color w:val="auto"/>
        </w:rPr>
        <w:instrText xml:space="preserve"> HYPERLINK \l "_Toc130206672" \o "#_Toc130206672" </w:instrText>
      </w:r>
      <w:r>
        <w:rPr>
          <w:color w:val="auto"/>
        </w:rPr>
        <w:fldChar w:fldCharType="separate"/>
      </w:r>
      <w:r>
        <w:rPr>
          <w:rStyle w:val="44"/>
          <w:rFonts w:hint="eastAsia"/>
          <w:color w:val="auto"/>
        </w:rPr>
        <w:t>（十六）实施方案</w:t>
      </w:r>
      <w:r>
        <w:rPr>
          <w:rStyle w:val="44"/>
          <w:color w:val="auto"/>
        </w:rPr>
        <w:tab/>
      </w:r>
      <w:r>
        <w:rPr>
          <w:rStyle w:val="44"/>
          <w:rFonts w:hint="eastAsia"/>
          <w:color w:val="auto"/>
          <w:lang w:val="en-US" w:eastAsia="zh-CN"/>
        </w:rPr>
        <w:t>8</w:t>
      </w:r>
      <w:r>
        <w:rPr>
          <w:rStyle w:val="44"/>
          <w:rFonts w:hint="eastAsia"/>
          <w:color w:val="auto"/>
        </w:rPr>
        <w:fldChar w:fldCharType="end"/>
      </w:r>
      <w:r>
        <w:rPr>
          <w:rStyle w:val="44"/>
          <w:rFonts w:hint="eastAsia"/>
          <w:color w:val="auto"/>
          <w:lang w:val="en-US" w:eastAsia="zh-CN"/>
        </w:rPr>
        <w:t>3</w:t>
      </w:r>
    </w:p>
    <w:p>
      <w:pPr>
        <w:pStyle w:val="28"/>
        <w:tabs>
          <w:tab w:val="right" w:leader="dot" w:pos="9072"/>
          <w:tab w:val="clear" w:pos="9638"/>
        </w:tabs>
        <w:rPr>
          <w:rStyle w:val="44"/>
          <w:rFonts w:hint="eastAsia" w:eastAsia="宋体"/>
          <w:color w:val="auto"/>
          <w:lang w:val="en-US" w:eastAsia="zh-CN"/>
        </w:rPr>
      </w:pPr>
      <w:r>
        <w:rPr>
          <w:color w:val="auto"/>
        </w:rPr>
        <w:fldChar w:fldCharType="begin"/>
      </w:r>
      <w:r>
        <w:rPr>
          <w:color w:val="auto"/>
        </w:rPr>
        <w:instrText xml:space="preserve"> HYPERLINK \l "_Toc130206672" \o "#_Toc130206672" </w:instrText>
      </w:r>
      <w:r>
        <w:rPr>
          <w:color w:val="auto"/>
        </w:rPr>
        <w:fldChar w:fldCharType="separate"/>
      </w:r>
      <w:r>
        <w:rPr>
          <w:rStyle w:val="44"/>
          <w:rFonts w:hint="eastAsia"/>
          <w:color w:val="auto"/>
        </w:rPr>
        <w:t>（十七）服务方案</w:t>
      </w:r>
      <w:r>
        <w:rPr>
          <w:rStyle w:val="44"/>
          <w:color w:val="auto"/>
        </w:rPr>
        <w:tab/>
      </w:r>
      <w:r>
        <w:rPr>
          <w:rStyle w:val="44"/>
          <w:rFonts w:hint="eastAsia"/>
          <w:color w:val="auto"/>
          <w:lang w:val="en-US" w:eastAsia="zh-CN"/>
        </w:rPr>
        <w:t>8</w:t>
      </w:r>
      <w:r>
        <w:rPr>
          <w:rStyle w:val="44"/>
          <w:rFonts w:hint="eastAsia"/>
          <w:color w:val="auto"/>
        </w:rPr>
        <w:fldChar w:fldCharType="end"/>
      </w:r>
      <w:r>
        <w:rPr>
          <w:rStyle w:val="44"/>
          <w:rFonts w:hint="eastAsia"/>
          <w:color w:val="auto"/>
          <w:lang w:val="en-US" w:eastAsia="zh-CN"/>
        </w:rPr>
        <w:t>4</w:t>
      </w:r>
    </w:p>
    <w:p>
      <w:pPr>
        <w:rPr>
          <w:color w:val="auto"/>
        </w:rPr>
      </w:pPr>
    </w:p>
    <w:p>
      <w:pPr>
        <w:pStyle w:val="21"/>
        <w:tabs>
          <w:tab w:val="center" w:pos="4718"/>
        </w:tabs>
        <w:spacing w:line="400" w:lineRule="exact"/>
        <w:jc w:val="center"/>
        <w:outlineLvl w:val="0"/>
        <w:rPr>
          <w:color w:val="auto"/>
        </w:rPr>
        <w:sectPr>
          <w:pgSz w:w="11906" w:h="16838"/>
          <w:pgMar w:top="1134" w:right="1274" w:bottom="1134" w:left="1305" w:header="624" w:footer="624" w:gutter="113"/>
          <w:cols w:space="720" w:num="1"/>
          <w:docGrid w:linePitch="360" w:charSpace="0"/>
        </w:sectPr>
      </w:pPr>
      <w:r>
        <w:rPr>
          <w:color w:val="auto"/>
        </w:rPr>
        <w:fldChar w:fldCharType="end"/>
      </w:r>
      <w:bookmarkEnd w:id="0"/>
      <w:bookmarkStart w:id="1" w:name="_Toc120519608"/>
    </w:p>
    <w:p>
      <w:pPr>
        <w:pStyle w:val="21"/>
        <w:tabs>
          <w:tab w:val="center" w:pos="4718"/>
        </w:tabs>
        <w:spacing w:line="400" w:lineRule="exact"/>
        <w:jc w:val="center"/>
        <w:outlineLvl w:val="0"/>
        <w:rPr>
          <w:color w:val="auto"/>
        </w:rPr>
      </w:pPr>
      <w:bookmarkStart w:id="2" w:name="_Toc130206638"/>
      <w:r>
        <w:rPr>
          <w:rFonts w:hint="eastAsia" w:hAnsi="宋体" w:cs="宋体"/>
          <w:b/>
          <w:color w:val="auto"/>
          <w:sz w:val="32"/>
          <w:szCs w:val="32"/>
        </w:rPr>
        <w:t>第一章 招标公告</w:t>
      </w:r>
      <w:bookmarkEnd w:id="1"/>
      <w:bookmarkEnd w:id="2"/>
    </w:p>
    <w:p>
      <w:pPr>
        <w:pStyle w:val="21"/>
        <w:tabs>
          <w:tab w:val="center" w:pos="4718"/>
        </w:tabs>
        <w:spacing w:line="400" w:lineRule="exact"/>
        <w:jc w:val="center"/>
        <w:outlineLvl w:val="0"/>
        <w:rPr>
          <w:rFonts w:hAnsi="宋体" w:cs="宋体"/>
          <w:b/>
          <w:color w:val="auto"/>
          <w:sz w:val="32"/>
          <w:szCs w:val="32"/>
        </w:rPr>
      </w:pP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28" w:type="dxa"/>
            <w:noWrap w:val="0"/>
          </w:tcPr>
          <w:p>
            <w:pPr>
              <w:widowControl/>
              <w:spacing w:line="480" w:lineRule="exact"/>
              <w:ind w:firstLine="482"/>
              <w:jc w:val="left"/>
              <w:rPr>
                <w:rFonts w:ascii="宋体" w:hAnsi="宋体" w:cs="Arial"/>
                <w:b/>
                <w:color w:val="auto"/>
                <w:sz w:val="24"/>
                <w:szCs w:val="24"/>
              </w:rPr>
            </w:pPr>
            <w:r>
              <w:rPr>
                <w:rFonts w:ascii="宋体" w:hAnsi="宋体" w:cs="Arial"/>
                <w:b/>
                <w:color w:val="auto"/>
                <w:sz w:val="24"/>
                <w:szCs w:val="24"/>
              </w:rPr>
              <w:t>项目概况</w:t>
            </w:r>
          </w:p>
          <w:p>
            <w:pPr>
              <w:widowControl/>
              <w:spacing w:line="480" w:lineRule="exact"/>
              <w:ind w:right="-105" w:firstLine="480"/>
              <w:jc w:val="left"/>
              <w:rPr>
                <w:rFonts w:ascii="宋体" w:hAnsi="宋体"/>
                <w:b/>
                <w:bCs/>
                <w:color w:val="auto"/>
                <w:sz w:val="30"/>
                <w:szCs w:val="30"/>
              </w:rPr>
            </w:pPr>
            <w:r>
              <w:rPr>
                <w:rFonts w:hint="eastAsia" w:ascii="宋体" w:hAnsi="宋体" w:cs="Arial"/>
                <w:bCs/>
                <w:color w:val="auto"/>
                <w:sz w:val="24"/>
                <w:szCs w:val="24"/>
                <w:u w:val="single"/>
                <w:lang w:eastAsia="zh-CN"/>
              </w:rPr>
              <w:t>建湖县公安局智能枪弹库建设采购项目</w:t>
            </w:r>
            <w:r>
              <w:rPr>
                <w:rFonts w:ascii="宋体" w:hAnsi="宋体" w:cs="Arial"/>
                <w:bCs/>
                <w:color w:val="auto"/>
                <w:sz w:val="24"/>
                <w:szCs w:val="24"/>
              </w:rPr>
              <w:t>的潜在投标人应在</w:t>
            </w:r>
            <w:r>
              <w:rPr>
                <w:rFonts w:hint="eastAsia" w:ascii="宋体" w:hAnsi="宋体" w:cs="Arial"/>
                <w:bCs/>
                <w:color w:val="auto"/>
                <w:sz w:val="24"/>
                <w:szCs w:val="24"/>
              </w:rPr>
              <w:t>“政府采购一体化平台（苏采云）”</w:t>
            </w:r>
            <w:r>
              <w:rPr>
                <w:rFonts w:ascii="宋体" w:hAnsi="宋体" w:cs="Arial"/>
                <w:bCs/>
                <w:color w:val="auto"/>
                <w:sz w:val="24"/>
                <w:szCs w:val="24"/>
              </w:rPr>
              <w:t>获取招标文件，并于</w:t>
            </w:r>
            <w:r>
              <w:rPr>
                <w:rFonts w:ascii="宋体" w:hAnsi="宋体" w:cs="Arial"/>
                <w:bCs/>
                <w:color w:val="auto"/>
                <w:sz w:val="24"/>
                <w:szCs w:val="24"/>
                <w:u w:val="single"/>
              </w:rPr>
              <w:t>2023年</w:t>
            </w:r>
            <w:r>
              <w:rPr>
                <w:rFonts w:hint="eastAsia" w:ascii="宋体" w:hAnsi="宋体" w:cs="Arial"/>
                <w:bCs/>
                <w:color w:val="auto"/>
                <w:sz w:val="24"/>
                <w:szCs w:val="24"/>
                <w:highlight w:val="none"/>
                <w:u w:val="single"/>
                <w:lang w:val="en-US" w:eastAsia="zh-CN"/>
              </w:rPr>
              <w:t>09</w:t>
            </w:r>
            <w:r>
              <w:rPr>
                <w:rFonts w:ascii="宋体" w:hAnsi="宋体" w:cs="Arial"/>
                <w:bCs/>
                <w:color w:val="auto"/>
                <w:sz w:val="24"/>
                <w:szCs w:val="24"/>
                <w:highlight w:val="none"/>
                <w:u w:val="single"/>
              </w:rPr>
              <w:t>月</w:t>
            </w:r>
            <w:r>
              <w:rPr>
                <w:rFonts w:hint="eastAsia" w:ascii="宋体" w:hAnsi="宋体" w:cs="Arial"/>
                <w:bCs/>
                <w:color w:val="auto"/>
                <w:sz w:val="24"/>
                <w:szCs w:val="24"/>
                <w:highlight w:val="none"/>
                <w:u w:val="single"/>
                <w:lang w:val="en-US" w:eastAsia="zh-CN"/>
              </w:rPr>
              <w:t>19</w:t>
            </w:r>
            <w:r>
              <w:rPr>
                <w:rFonts w:ascii="宋体" w:hAnsi="宋体" w:cs="Arial"/>
                <w:bCs/>
                <w:color w:val="auto"/>
                <w:sz w:val="24"/>
                <w:szCs w:val="24"/>
                <w:highlight w:val="none"/>
                <w:u w:val="single"/>
              </w:rPr>
              <w:t>日</w:t>
            </w:r>
            <w:bookmarkStart w:id="3" w:name="_Hlk128673662"/>
            <w:r>
              <w:rPr>
                <w:rFonts w:ascii="宋体" w:hAnsi="宋体" w:cs="Arial"/>
                <w:bCs/>
                <w:color w:val="auto"/>
                <w:sz w:val="24"/>
                <w:szCs w:val="24"/>
                <w:highlight w:val="none"/>
                <w:u w:val="single"/>
              </w:rPr>
              <w:t>0</w:t>
            </w:r>
            <w:r>
              <w:rPr>
                <w:rFonts w:ascii="宋体" w:hAnsi="宋体" w:cs="Arial"/>
                <w:bCs/>
                <w:color w:val="auto"/>
                <w:sz w:val="24"/>
                <w:szCs w:val="24"/>
                <w:u w:val="single"/>
              </w:rPr>
              <w:t>9</w:t>
            </w:r>
            <w:r>
              <w:rPr>
                <w:rFonts w:hint="eastAsia" w:ascii="宋体" w:hAnsi="宋体" w:cs="Arial"/>
                <w:bCs/>
                <w:color w:val="auto"/>
                <w:sz w:val="24"/>
                <w:szCs w:val="24"/>
                <w:u w:val="single"/>
              </w:rPr>
              <w:t>时</w:t>
            </w:r>
            <w:r>
              <w:rPr>
                <w:rFonts w:ascii="宋体" w:hAnsi="宋体" w:cs="Arial"/>
                <w:bCs/>
                <w:color w:val="auto"/>
                <w:sz w:val="24"/>
                <w:szCs w:val="24"/>
              </w:rPr>
              <w:t>（北京时间）前</w:t>
            </w:r>
            <w:bookmarkEnd w:id="3"/>
            <w:r>
              <w:rPr>
                <w:rFonts w:hint="eastAsia" w:ascii="宋体" w:hAnsi="宋体" w:cs="Arial"/>
                <w:bCs/>
                <w:color w:val="auto"/>
                <w:sz w:val="24"/>
                <w:szCs w:val="24"/>
              </w:rPr>
              <w:t>递交</w:t>
            </w:r>
            <w:r>
              <w:rPr>
                <w:rFonts w:ascii="宋体" w:hAnsi="宋体" w:cs="Arial"/>
                <w:bCs/>
                <w:color w:val="auto"/>
                <w:sz w:val="24"/>
                <w:szCs w:val="24"/>
              </w:rPr>
              <w:t>投标文件。</w:t>
            </w:r>
          </w:p>
        </w:tc>
      </w:tr>
    </w:tbl>
    <w:p>
      <w:pPr>
        <w:widowControl/>
        <w:spacing w:line="480" w:lineRule="exact"/>
        <w:ind w:firstLine="482"/>
        <w:jc w:val="left"/>
        <w:rPr>
          <w:rFonts w:ascii="宋体" w:hAnsi="宋体" w:cs="Arial"/>
          <w:b/>
          <w:color w:val="auto"/>
          <w:sz w:val="24"/>
          <w:szCs w:val="24"/>
        </w:rPr>
      </w:pPr>
      <w:r>
        <w:rPr>
          <w:rFonts w:hint="eastAsia" w:ascii="宋体" w:hAnsi="宋体" w:cs="Arial"/>
          <w:b/>
          <w:color w:val="auto"/>
          <w:sz w:val="24"/>
          <w:szCs w:val="24"/>
        </w:rPr>
        <w:t>一、项目基本</w:t>
      </w:r>
      <w:r>
        <w:rPr>
          <w:rFonts w:ascii="宋体" w:hAnsi="宋体" w:cs="Arial"/>
          <w:b/>
          <w:color w:val="auto"/>
          <w:sz w:val="24"/>
          <w:szCs w:val="24"/>
        </w:rPr>
        <w:t>情况</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1.项目编号：JSZC-320925-YSGS-G2023-0007</w:t>
      </w:r>
    </w:p>
    <w:p>
      <w:pPr>
        <w:widowControl/>
        <w:spacing w:line="480" w:lineRule="exact"/>
        <w:ind w:firstLine="480"/>
        <w:jc w:val="left"/>
        <w:rPr>
          <w:rFonts w:hint="eastAsia" w:ascii="宋体" w:hAnsi="宋体" w:eastAsia="宋体" w:cs="Arial"/>
          <w:bCs/>
          <w:color w:val="auto"/>
          <w:sz w:val="24"/>
          <w:szCs w:val="24"/>
          <w:lang w:eastAsia="zh-CN"/>
        </w:rPr>
      </w:pPr>
      <w:r>
        <w:rPr>
          <w:rFonts w:hint="eastAsia" w:ascii="宋体" w:hAnsi="宋体" w:cs="Arial"/>
          <w:bCs/>
          <w:color w:val="auto"/>
          <w:sz w:val="24"/>
          <w:szCs w:val="24"/>
        </w:rPr>
        <w:t>2.项目名称：</w:t>
      </w:r>
      <w:r>
        <w:rPr>
          <w:rFonts w:hint="eastAsia" w:ascii="宋体" w:hAnsi="宋体" w:cs="Arial"/>
          <w:bCs/>
          <w:color w:val="auto"/>
          <w:spacing w:val="-4"/>
          <w:sz w:val="24"/>
          <w:szCs w:val="24"/>
          <w:lang w:eastAsia="zh-CN"/>
        </w:rPr>
        <w:t>建湖县公安局智能枪弹库建设采购项目</w:t>
      </w:r>
    </w:p>
    <w:p>
      <w:pPr>
        <w:widowControl/>
        <w:spacing w:line="480" w:lineRule="exact"/>
        <w:ind w:firstLine="480"/>
        <w:jc w:val="left"/>
        <w:rPr>
          <w:rFonts w:hint="eastAsia" w:ascii="宋体" w:hAnsi="宋体" w:cs="Arial"/>
          <w:bCs/>
          <w:color w:val="auto"/>
          <w:sz w:val="24"/>
          <w:szCs w:val="24"/>
          <w:lang w:eastAsia="zh-CN"/>
        </w:rPr>
      </w:pPr>
      <w:r>
        <w:rPr>
          <w:rFonts w:hint="eastAsia" w:ascii="宋体" w:hAnsi="宋体" w:cs="Arial"/>
          <w:bCs/>
          <w:color w:val="auto"/>
          <w:sz w:val="24"/>
          <w:szCs w:val="24"/>
        </w:rPr>
        <w:t>3.预算金额：预算价为</w:t>
      </w:r>
      <w:r>
        <w:rPr>
          <w:rFonts w:hint="eastAsia" w:ascii="宋体" w:hAnsi="宋体" w:cs="Arial"/>
          <w:bCs/>
          <w:color w:val="auto"/>
          <w:sz w:val="24"/>
          <w:szCs w:val="24"/>
          <w:lang w:val="en-US" w:eastAsia="zh-CN"/>
        </w:rPr>
        <w:t>95</w:t>
      </w:r>
      <w:r>
        <w:rPr>
          <w:rFonts w:hint="eastAsia" w:ascii="宋体" w:hAnsi="宋体" w:cs="Arial"/>
          <w:bCs/>
          <w:color w:val="auto"/>
          <w:sz w:val="24"/>
          <w:szCs w:val="24"/>
        </w:rPr>
        <w:t>.00万元</w:t>
      </w:r>
      <w:r>
        <w:rPr>
          <w:rFonts w:hint="eastAsia" w:ascii="宋体" w:hAnsi="宋体" w:cs="Arial"/>
          <w:bCs/>
          <w:color w:val="auto"/>
          <w:sz w:val="24"/>
          <w:szCs w:val="24"/>
          <w:lang w:eastAsia="zh-CN"/>
        </w:rPr>
        <w:t>；</w:t>
      </w:r>
    </w:p>
    <w:p>
      <w:pPr>
        <w:widowControl/>
        <w:spacing w:line="480" w:lineRule="exact"/>
        <w:ind w:firstLine="480"/>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lang w:val="en-US" w:eastAsia="zh-CN"/>
        </w:rPr>
        <w:t>4.最高限价：本项目最高限价为85万，投标报价高于最高限价的作无效标论处；</w:t>
      </w:r>
    </w:p>
    <w:p>
      <w:pPr>
        <w:widowControl/>
        <w:spacing w:line="480" w:lineRule="exact"/>
        <w:ind w:firstLine="480"/>
        <w:jc w:val="left"/>
        <w:rPr>
          <w:rFonts w:ascii="宋体" w:hAnsi="宋体" w:cs="宋体"/>
          <w:bCs/>
          <w:color w:val="auto"/>
          <w:sz w:val="24"/>
        </w:rPr>
      </w:pPr>
      <w:r>
        <w:rPr>
          <w:rFonts w:hint="eastAsia" w:ascii="宋体" w:hAnsi="宋体" w:cs="Arial"/>
          <w:bCs/>
          <w:color w:val="auto"/>
          <w:sz w:val="24"/>
          <w:szCs w:val="24"/>
          <w:lang w:val="en-US" w:eastAsia="zh-CN"/>
        </w:rPr>
        <w:t>5</w:t>
      </w:r>
      <w:r>
        <w:rPr>
          <w:rFonts w:hint="eastAsia" w:ascii="宋体" w:hAnsi="宋体" w:cs="Arial"/>
          <w:bCs/>
          <w:color w:val="auto"/>
          <w:sz w:val="24"/>
          <w:szCs w:val="24"/>
        </w:rPr>
        <w:t>.采购需求：</w:t>
      </w:r>
      <w:r>
        <w:rPr>
          <w:rFonts w:hint="eastAsia" w:ascii="宋体" w:hAnsi="宋体" w:cs="Arial"/>
          <w:bCs/>
          <w:color w:val="auto"/>
          <w:spacing w:val="-4"/>
          <w:sz w:val="24"/>
          <w:szCs w:val="24"/>
          <w:lang w:val="en-US" w:eastAsia="zh-CN"/>
        </w:rPr>
        <w:t>建湖县公安局智能枪弹库建设采购项目</w:t>
      </w:r>
      <w:r>
        <w:rPr>
          <w:rFonts w:hint="eastAsia" w:ascii="宋体" w:hAnsi="宋体" w:cs="Arial"/>
          <w:bCs/>
          <w:color w:val="auto"/>
          <w:sz w:val="24"/>
          <w:szCs w:val="24"/>
        </w:rPr>
        <w:t>，具体内容详见招标文件第三章；</w:t>
      </w:r>
    </w:p>
    <w:p>
      <w:pPr>
        <w:widowControl/>
        <w:spacing w:line="480" w:lineRule="exact"/>
        <w:ind w:firstLine="480"/>
        <w:jc w:val="left"/>
        <w:rPr>
          <w:rFonts w:ascii="宋体" w:hAnsi="宋体" w:cs="Arial"/>
          <w:bCs/>
          <w:color w:val="auto"/>
          <w:sz w:val="24"/>
          <w:szCs w:val="24"/>
          <w:highlight w:val="none"/>
        </w:rPr>
      </w:pPr>
      <w:r>
        <w:rPr>
          <w:rFonts w:hint="eastAsia" w:ascii="宋体" w:hAnsi="宋体" w:cs="Arial"/>
          <w:bCs/>
          <w:color w:val="auto"/>
          <w:sz w:val="24"/>
          <w:szCs w:val="24"/>
          <w:highlight w:val="none"/>
          <w:lang w:val="en-US" w:eastAsia="zh-CN"/>
        </w:rPr>
        <w:t>6</w:t>
      </w:r>
      <w:r>
        <w:rPr>
          <w:rFonts w:hint="eastAsia" w:ascii="宋体" w:hAnsi="宋体" w:cs="Arial"/>
          <w:bCs/>
          <w:color w:val="auto"/>
          <w:sz w:val="24"/>
          <w:szCs w:val="24"/>
          <w:highlight w:val="none"/>
        </w:rPr>
        <w:t>.合同履行期限：合同签订后30个日历天内完成全部供货、安装、调试并经验收合格；</w:t>
      </w:r>
    </w:p>
    <w:p>
      <w:pPr>
        <w:widowControl/>
        <w:spacing w:line="480" w:lineRule="exact"/>
        <w:ind w:firstLine="480"/>
        <w:jc w:val="left"/>
        <w:rPr>
          <w:rFonts w:ascii="宋体" w:hAnsi="宋体" w:cs="Arial"/>
          <w:bCs/>
          <w:color w:val="auto"/>
          <w:sz w:val="24"/>
          <w:szCs w:val="24"/>
          <w:highlight w:val="none"/>
        </w:rPr>
      </w:pPr>
      <w:r>
        <w:rPr>
          <w:rFonts w:hint="eastAsia" w:ascii="宋体" w:hAnsi="宋体" w:cs="Arial"/>
          <w:bCs/>
          <w:color w:val="auto"/>
          <w:sz w:val="24"/>
          <w:szCs w:val="24"/>
          <w:highlight w:val="none"/>
          <w:lang w:val="en-US" w:eastAsia="zh-CN"/>
        </w:rPr>
        <w:t>7</w:t>
      </w:r>
      <w:r>
        <w:rPr>
          <w:rFonts w:ascii="宋体" w:hAnsi="宋体" w:cs="Arial"/>
          <w:bCs/>
          <w:color w:val="auto"/>
          <w:sz w:val="24"/>
          <w:szCs w:val="24"/>
          <w:highlight w:val="none"/>
        </w:rPr>
        <w:t>.</w:t>
      </w:r>
      <w:r>
        <w:rPr>
          <w:rFonts w:hint="eastAsia" w:ascii="宋体" w:hAnsi="宋体" w:cs="Arial"/>
          <w:bCs/>
          <w:color w:val="auto"/>
          <w:sz w:val="24"/>
          <w:szCs w:val="24"/>
          <w:highlight w:val="none"/>
        </w:rPr>
        <w:t>质 保 期：</w:t>
      </w:r>
      <w:r>
        <w:rPr>
          <w:rFonts w:hint="eastAsia" w:ascii="宋体" w:hAnsi="宋体" w:cs="Arial"/>
          <w:bCs/>
          <w:color w:val="auto"/>
          <w:sz w:val="24"/>
          <w:szCs w:val="24"/>
          <w:highlight w:val="none"/>
          <w:lang w:eastAsia="zh-CN"/>
        </w:rPr>
        <w:t>一</w:t>
      </w:r>
      <w:r>
        <w:rPr>
          <w:rFonts w:hint="eastAsia" w:ascii="宋体" w:hAnsi="宋体" w:cs="Arial"/>
          <w:bCs/>
          <w:color w:val="auto"/>
          <w:sz w:val="24"/>
          <w:szCs w:val="24"/>
          <w:highlight w:val="none"/>
        </w:rPr>
        <w:t>年</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highlight w:val="none"/>
          <w:lang w:val="en-US" w:eastAsia="zh-CN"/>
        </w:rPr>
        <w:t>8</w:t>
      </w:r>
      <w:r>
        <w:rPr>
          <w:rFonts w:hint="eastAsia" w:ascii="宋体" w:hAnsi="宋体" w:cs="Arial"/>
          <w:bCs/>
          <w:color w:val="auto"/>
          <w:sz w:val="24"/>
          <w:szCs w:val="24"/>
          <w:highlight w:val="none"/>
        </w:rPr>
        <w:t>.本</w:t>
      </w:r>
      <w:r>
        <w:rPr>
          <w:rFonts w:ascii="宋体" w:hAnsi="宋体" w:cs="Arial"/>
          <w:bCs/>
          <w:color w:val="auto"/>
          <w:sz w:val="24"/>
          <w:szCs w:val="24"/>
          <w:highlight w:val="none"/>
        </w:rPr>
        <w:t>项目</w:t>
      </w:r>
      <w:r>
        <w:rPr>
          <w:rFonts w:hint="eastAsia" w:ascii="宋体" w:hAnsi="宋体" w:cs="Arial"/>
          <w:bCs/>
          <w:color w:val="auto"/>
          <w:sz w:val="24"/>
          <w:szCs w:val="24"/>
          <w:highlight w:val="none"/>
        </w:rPr>
        <w:t>不</w:t>
      </w:r>
      <w:r>
        <w:rPr>
          <w:rFonts w:ascii="宋体" w:hAnsi="宋体" w:cs="Arial"/>
          <w:bCs/>
          <w:color w:val="auto"/>
          <w:sz w:val="24"/>
          <w:szCs w:val="24"/>
          <w:highlight w:val="none"/>
        </w:rPr>
        <w:t>接受联合</w:t>
      </w:r>
      <w:r>
        <w:rPr>
          <w:rFonts w:ascii="宋体" w:hAnsi="宋体" w:cs="Arial"/>
          <w:bCs/>
          <w:color w:val="auto"/>
          <w:sz w:val="24"/>
          <w:szCs w:val="24"/>
        </w:rPr>
        <w:t>体投标。</w:t>
      </w:r>
    </w:p>
    <w:p>
      <w:pPr>
        <w:widowControl/>
        <w:spacing w:line="480" w:lineRule="exact"/>
        <w:ind w:firstLine="482"/>
        <w:jc w:val="left"/>
        <w:rPr>
          <w:rFonts w:ascii="宋体" w:hAnsi="宋体" w:cs="Arial"/>
          <w:b/>
          <w:color w:val="auto"/>
          <w:sz w:val="24"/>
          <w:szCs w:val="24"/>
        </w:rPr>
      </w:pPr>
      <w:r>
        <w:rPr>
          <w:rFonts w:hint="eastAsia" w:ascii="宋体" w:hAnsi="宋体" w:cs="Arial"/>
          <w:b/>
          <w:color w:val="auto"/>
          <w:sz w:val="24"/>
          <w:szCs w:val="24"/>
        </w:rPr>
        <w:t>二、投标申请人资格要求</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w:t>
      </w:r>
      <w:r>
        <w:rPr>
          <w:rFonts w:hint="eastAsia" w:ascii="宋体" w:hAnsi="宋体" w:cs="Arial"/>
          <w:bCs/>
          <w:color w:val="auto"/>
          <w:sz w:val="24"/>
          <w:szCs w:val="24"/>
        </w:rPr>
        <w:t>满足《中华人民共和国政府采购法》第二十二条规定：</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1.1</w:t>
      </w:r>
      <w:r>
        <w:rPr>
          <w:rFonts w:hint="eastAsia" w:ascii="宋体" w:hAnsi="宋体" w:cs="Arial"/>
          <w:bCs/>
          <w:color w:val="auto"/>
          <w:sz w:val="24"/>
          <w:szCs w:val="24"/>
        </w:rPr>
        <w:t>具有独立承担民事责任的能力（提供法人或者其他组织的营业执照）；</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w:t>
      </w:r>
      <w:r>
        <w:rPr>
          <w:rFonts w:hint="eastAsia" w:ascii="宋体" w:hAnsi="宋体" w:cs="Arial"/>
          <w:bCs/>
          <w:color w:val="auto"/>
          <w:sz w:val="24"/>
          <w:szCs w:val="24"/>
        </w:rPr>
        <w:t>2具有良好的商业信誉和健全的财务会计制度【须提供近半年内的财务报表或者上年度企业财务审计报告（财务报表须提供不少于三个月的）】（成立不满一年不需提供）；</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w:t>
      </w:r>
      <w:r>
        <w:rPr>
          <w:rFonts w:hint="eastAsia" w:ascii="宋体" w:hAnsi="宋体" w:cs="Arial"/>
          <w:bCs/>
          <w:color w:val="auto"/>
          <w:sz w:val="24"/>
          <w:szCs w:val="24"/>
        </w:rPr>
        <w:t>3具有履行合同所必需的设备和专业技术能力；</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w:t>
      </w:r>
      <w:r>
        <w:rPr>
          <w:rFonts w:hint="eastAsia" w:ascii="宋体" w:hAnsi="宋体" w:cs="Arial"/>
          <w:bCs/>
          <w:color w:val="auto"/>
          <w:sz w:val="24"/>
          <w:szCs w:val="24"/>
        </w:rPr>
        <w:t>4有依法缴纳税收和社会保障资金的良好记录【须提供经税务部门认可的近半年内依法缴纳税收的证明（不少于三个月的）】（成立不满一年不需提供）；</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w:t>
      </w:r>
      <w:r>
        <w:rPr>
          <w:rFonts w:hint="eastAsia" w:ascii="宋体" w:hAnsi="宋体" w:cs="Arial"/>
          <w:bCs/>
          <w:color w:val="auto"/>
          <w:sz w:val="24"/>
          <w:szCs w:val="24"/>
        </w:rPr>
        <w:t>5参加政府采购活动前三年内，在经营活动中没有重大违法记录（提供参加本次政府采购活动前3年内在经营活动中没有重大违法记录的书面声明）（格式见招标文件）；</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w:t>
      </w:r>
      <w:r>
        <w:rPr>
          <w:rFonts w:hint="eastAsia" w:ascii="宋体" w:hAnsi="宋体" w:cs="Arial"/>
          <w:bCs/>
          <w:color w:val="auto"/>
          <w:sz w:val="24"/>
          <w:szCs w:val="24"/>
        </w:rPr>
        <w:t>6法律、行政法规规定的其他条件：无。</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2.落实政府采购政策需满足的资格要求（详见招标文件第四章）：</w:t>
      </w:r>
    </w:p>
    <w:p>
      <w:pPr>
        <w:widowControl/>
        <w:spacing w:line="480" w:lineRule="exact"/>
        <w:ind w:firstLine="480"/>
        <w:jc w:val="left"/>
        <w:rPr>
          <w:rFonts w:hint="eastAsia" w:cs="Arial" w:asciiTheme="minorEastAsia" w:hAnsiTheme="minorEastAsia" w:eastAsiaTheme="minorEastAsia"/>
          <w:bCs/>
          <w:color w:val="auto"/>
          <w:sz w:val="24"/>
          <w:szCs w:val="24"/>
        </w:rPr>
      </w:pPr>
      <w:r>
        <w:rPr>
          <w:rFonts w:hint="eastAsia" w:cs="Arial" w:asciiTheme="minorEastAsia" w:hAnsiTheme="minorEastAsia" w:eastAsiaTheme="minorEastAsia"/>
          <w:bCs/>
          <w:color w:val="auto"/>
          <w:sz w:val="24"/>
          <w:szCs w:val="24"/>
          <w:lang w:val="en-US" w:eastAsia="zh-CN"/>
        </w:rPr>
        <w:t>2.1本项目专门面向中小企业采购，投标人须为符合《关于印发中小企业划型标准规定的通知》（工信部联企业[2011]300号）文件的中小微企业（投标时须提供中小企业声明函，否则按无效标处理）。</w:t>
      </w:r>
    </w:p>
    <w:p>
      <w:pPr>
        <w:widowControl/>
        <w:spacing w:line="480" w:lineRule="exact"/>
        <w:ind w:firstLine="480"/>
        <w:jc w:val="left"/>
        <w:rPr>
          <w:rFonts w:cs="Arial" w:asciiTheme="minorEastAsia" w:hAnsiTheme="minorEastAsia" w:eastAsiaTheme="minorEastAsia"/>
          <w:bCs/>
          <w:color w:val="auto"/>
          <w:sz w:val="24"/>
          <w:szCs w:val="24"/>
        </w:rPr>
      </w:pPr>
      <w:r>
        <w:rPr>
          <w:rFonts w:hint="eastAsia" w:cs="Arial" w:asciiTheme="minorEastAsia" w:hAnsiTheme="minorEastAsia" w:eastAsiaTheme="minorEastAsia"/>
          <w:bCs/>
          <w:color w:val="auto"/>
          <w:sz w:val="24"/>
          <w:szCs w:val="24"/>
          <w:lang w:val="en-US" w:eastAsia="zh-CN"/>
        </w:rPr>
        <w:t>2.2政府采购鼓励采购节能环保产品</w:t>
      </w:r>
      <w:r>
        <w:rPr>
          <w:rFonts w:hint="eastAsia" w:cs="Arial" w:asciiTheme="minorEastAsia" w:hAnsiTheme="minorEastAsia" w:eastAsiaTheme="minorEastAsia"/>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3.本项目的特定</w:t>
      </w:r>
      <w:r>
        <w:rPr>
          <w:rFonts w:ascii="宋体" w:hAnsi="宋体" w:cs="Arial"/>
          <w:bCs/>
          <w:color w:val="auto"/>
          <w:sz w:val="24"/>
          <w:szCs w:val="24"/>
        </w:rPr>
        <w:t>资格要求</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3.1投标申请人应是中华人民共和国境内注册的供应商；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3.2未被“信用中国”网站（www.creditchina.gov.cn）列入失信被执行人、重大税收违法案件当事人名单、政府采购严重失信行为记录名单。</w:t>
      </w:r>
    </w:p>
    <w:p>
      <w:pPr>
        <w:widowControl/>
        <w:spacing w:line="480" w:lineRule="exact"/>
        <w:ind w:firstLine="482"/>
        <w:jc w:val="left"/>
        <w:rPr>
          <w:rFonts w:ascii="宋体" w:hAnsi="宋体" w:cs="Arial"/>
          <w:b/>
          <w:color w:val="auto"/>
          <w:sz w:val="24"/>
          <w:szCs w:val="24"/>
        </w:rPr>
      </w:pPr>
      <w:r>
        <w:rPr>
          <w:rFonts w:hint="eastAsia" w:ascii="宋体" w:hAnsi="宋体" w:cs="Arial"/>
          <w:b/>
          <w:color w:val="auto"/>
          <w:sz w:val="24"/>
          <w:szCs w:val="24"/>
        </w:rPr>
        <w:t>三、获取招标文件</w:t>
      </w:r>
    </w:p>
    <w:p>
      <w:pPr>
        <w:widowControl/>
        <w:spacing w:line="480" w:lineRule="exact"/>
        <w:ind w:firstLine="480"/>
        <w:jc w:val="left"/>
        <w:rPr>
          <w:rFonts w:ascii="宋体" w:hAnsi="宋体" w:cs="Arial"/>
          <w:bCs/>
          <w:color w:val="auto"/>
          <w:sz w:val="24"/>
          <w:szCs w:val="24"/>
        </w:rPr>
      </w:pPr>
      <w:bookmarkStart w:id="4" w:name="_Toc42249797"/>
      <w:bookmarkStart w:id="5" w:name="_Toc42249844"/>
      <w:bookmarkStart w:id="6" w:name="QLCZYSX_1"/>
      <w:r>
        <w:rPr>
          <w:rFonts w:hint="eastAsia" w:ascii="宋体" w:hAnsi="宋体" w:cs="Arial"/>
          <w:bCs/>
          <w:color w:val="auto"/>
          <w:sz w:val="24"/>
          <w:szCs w:val="24"/>
        </w:rPr>
        <w:t>1.</w:t>
      </w:r>
      <w:r>
        <w:rPr>
          <w:rFonts w:ascii="宋体" w:hAnsi="宋体" w:cs="Arial"/>
          <w:bCs/>
          <w:color w:val="auto"/>
          <w:sz w:val="24"/>
          <w:szCs w:val="24"/>
        </w:rPr>
        <w:t>招标文件</w:t>
      </w:r>
      <w:r>
        <w:rPr>
          <w:rFonts w:hint="eastAsia" w:ascii="宋体" w:hAnsi="宋体" w:cs="Arial"/>
          <w:bCs/>
          <w:color w:val="auto"/>
          <w:sz w:val="24"/>
          <w:szCs w:val="24"/>
        </w:rPr>
        <w:t>获取截止时间：</w:t>
      </w:r>
      <w:r>
        <w:rPr>
          <w:rFonts w:hint="eastAsia" w:ascii="宋体" w:hAnsi="宋体" w:cs="Arial"/>
          <w:bCs/>
          <w:color w:val="auto"/>
          <w:sz w:val="24"/>
          <w:szCs w:val="24"/>
          <w:u w:val="single"/>
        </w:rPr>
        <w:t>2023年</w:t>
      </w:r>
      <w:r>
        <w:rPr>
          <w:rFonts w:hint="eastAsia" w:ascii="宋体" w:hAnsi="宋体" w:cs="Arial"/>
          <w:bCs/>
          <w:color w:val="auto"/>
          <w:sz w:val="24"/>
          <w:szCs w:val="24"/>
          <w:highlight w:val="none"/>
          <w:u w:val="single"/>
          <w:lang w:val="en-US" w:eastAsia="zh-CN"/>
        </w:rPr>
        <w:t>09月19</w:t>
      </w:r>
      <w:r>
        <w:rPr>
          <w:rFonts w:hint="eastAsia" w:ascii="宋体" w:hAnsi="宋体" w:cs="Arial"/>
          <w:bCs/>
          <w:color w:val="auto"/>
          <w:sz w:val="24"/>
          <w:szCs w:val="24"/>
          <w:highlight w:val="none"/>
          <w:u w:val="single"/>
        </w:rPr>
        <w:t>日</w:t>
      </w:r>
      <w:r>
        <w:rPr>
          <w:rFonts w:hint="eastAsia" w:ascii="宋体" w:hAnsi="宋体" w:cs="Arial"/>
          <w:bCs/>
          <w:color w:val="auto"/>
          <w:sz w:val="24"/>
          <w:szCs w:val="24"/>
          <w:highlight w:val="none"/>
          <w:u w:val="single"/>
          <w:lang w:eastAsia="zh-CN"/>
        </w:rPr>
        <w:t>上</w:t>
      </w:r>
      <w:r>
        <w:rPr>
          <w:rFonts w:hint="eastAsia" w:ascii="宋体" w:hAnsi="宋体" w:cs="Arial"/>
          <w:bCs/>
          <w:color w:val="auto"/>
          <w:sz w:val="24"/>
          <w:szCs w:val="24"/>
          <w:u w:val="single"/>
        </w:rPr>
        <w:t>午</w:t>
      </w:r>
      <w:r>
        <w:rPr>
          <w:rFonts w:ascii="宋体" w:hAnsi="宋体" w:cs="Arial"/>
          <w:bCs/>
          <w:color w:val="auto"/>
          <w:sz w:val="24"/>
          <w:szCs w:val="24"/>
          <w:u w:val="single"/>
        </w:rPr>
        <w:t>08</w:t>
      </w:r>
      <w:r>
        <w:rPr>
          <w:rFonts w:hint="eastAsia" w:ascii="宋体" w:hAnsi="宋体" w:cs="Arial"/>
          <w:bCs/>
          <w:color w:val="auto"/>
          <w:sz w:val="24"/>
          <w:szCs w:val="24"/>
          <w:u w:val="single"/>
        </w:rPr>
        <w:t>:59:59</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2.地点：</w:t>
      </w:r>
      <w:r>
        <w:rPr>
          <w:rFonts w:hint="eastAsia" w:ascii="宋体" w:hAnsi="宋体" w:cs="Arial"/>
          <w:bCs/>
          <w:color w:val="auto"/>
          <w:sz w:val="24"/>
          <w:szCs w:val="24"/>
          <w:u w:val="single"/>
        </w:rPr>
        <w:t>网上注册登记成功后系统内免费下载</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w:t>
      </w:r>
      <w:r>
        <w:rPr>
          <w:rFonts w:ascii="宋体" w:hAnsi="宋体" w:cs="Arial"/>
          <w:bCs/>
          <w:color w:val="auto"/>
          <w:sz w:val="24"/>
          <w:szCs w:val="24"/>
        </w:rPr>
        <w:t xml:space="preserve"> </w:t>
      </w:r>
      <w:r>
        <w:rPr>
          <w:rFonts w:hint="eastAsia" w:ascii="宋体" w:hAnsi="宋体" w:cs="Arial"/>
          <w:bCs/>
          <w:color w:val="auto"/>
          <w:sz w:val="24"/>
          <w:szCs w:val="24"/>
        </w:rPr>
        <w:t>获取方式：</w:t>
      </w:r>
      <w:r>
        <w:rPr>
          <w:rFonts w:hint="eastAsia" w:ascii="宋体" w:hAnsi="宋体" w:cs="Arial"/>
          <w:bCs/>
          <w:color w:val="auto"/>
          <w:sz w:val="24"/>
          <w:szCs w:val="24"/>
          <w:u w:val="single"/>
        </w:rPr>
        <w:t>本项目采用网上注册登记方式</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3.1潜在供应商访问电子招标响应交易平台的网络地址和方法：“苏采云”系统用户注册--获取“CA数字证书”--CA绑定与登录--网上报名--下载采购文件（后缀名为“.kedt”）--将后缀名为“.kedt”的采购文件导入政府采购客户端工具--制作响应文件--导出加密的响应文件（后缀名为zip）--通过“苏采云”系统上传响应文件。</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具体见《江苏省政府采购管理交易系统（苏采云）供应商操作手册》（手册下载地址：</w:t>
      </w:r>
      <w:r>
        <w:rPr>
          <w:rFonts w:hint="eastAsia" w:cs="Arial" w:asciiTheme="minorEastAsia" w:hAnsiTheme="minorEastAsia" w:eastAsiaTheme="minorEastAsia"/>
          <w:bCs/>
          <w:color w:val="auto"/>
          <w:sz w:val="24"/>
          <w:szCs w:val="24"/>
        </w:rPr>
        <w:t>建湖县公共资源交易电子化服务平台http://218.206.153.6:8099/</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3.2潜在投标人访问“苏采云”系统的网络地址和方法：“苏采云”系统的网址：</w:t>
      </w:r>
      <w:r>
        <w:rPr>
          <w:color w:val="auto"/>
        </w:rPr>
        <w:fldChar w:fldCharType="begin"/>
      </w:r>
      <w:r>
        <w:rPr>
          <w:color w:val="auto"/>
        </w:rPr>
        <w:instrText xml:space="preserve"> HYPERLINK "http://jszfcg.jsczt.cn/" \o "http://jszfcg.jsczt.cn/" </w:instrText>
      </w:r>
      <w:r>
        <w:rPr>
          <w:color w:val="auto"/>
        </w:rPr>
        <w:fldChar w:fldCharType="separate"/>
      </w:r>
      <w:r>
        <w:rPr>
          <w:rFonts w:hint="eastAsia" w:cs="Arial"/>
          <w:bCs/>
          <w:color w:val="auto"/>
        </w:rPr>
        <w:t>http://jszfcg.jsczt.cn/</w:t>
      </w:r>
      <w:r>
        <w:rPr>
          <w:rFonts w:hint="eastAsia" w:cs="Arial"/>
          <w:bCs/>
          <w:color w:val="auto"/>
        </w:rPr>
        <w:fldChar w:fldCharType="end"/>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3.3“CA数字证书”的获取：供应商需办理CA锁，“苏采云”系统目前仅支持国信CA，省内各地区办理的用于“苏采云”平台的国信CA全省通用。“CA数字证书”的办理方法详见《江苏省政府采购（供应商）国信CA数字证书及电子签章办理指南》；</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3.4采购文件（后缀名为“.kedt”）、供应商操作手册及政府采购客户端工具可通过“苏采云”系统--已报名项目--报名详情页面内相应链接进行下载；</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3.5招标代理机构（采购代理机构）将数据电文形式的招标文件加载至“苏采云”系统，供潜在供应商下载或者查阅；</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3.6请潜在投标单位提前安装相应的控件（详见《江苏省政府采购管理交易系统（苏采云）供应商操作手册》）并使用谷歌浏览器登录“苏采云”系统参与不见面开评标。</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4.文件售价：</w:t>
      </w:r>
      <w:r>
        <w:rPr>
          <w:rFonts w:hint="eastAsia" w:ascii="宋体" w:hAnsi="宋体" w:cs="Arial"/>
          <w:bCs/>
          <w:color w:val="auto"/>
          <w:sz w:val="24"/>
          <w:szCs w:val="24"/>
          <w:u w:val="single"/>
        </w:rPr>
        <w:t>免费</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如潜在投标人未按上述要求操作，将自行承担所产生的风险。</w:t>
      </w:r>
      <w:bookmarkEnd w:id="4"/>
      <w:bookmarkEnd w:id="5"/>
      <w:bookmarkEnd w:id="6"/>
    </w:p>
    <w:p>
      <w:pPr>
        <w:widowControl/>
        <w:spacing w:line="480" w:lineRule="exact"/>
        <w:ind w:firstLine="482"/>
        <w:jc w:val="left"/>
        <w:rPr>
          <w:rFonts w:ascii="宋体" w:hAnsi="宋体" w:cs="Arial"/>
          <w:b/>
          <w:color w:val="auto"/>
          <w:sz w:val="24"/>
          <w:szCs w:val="24"/>
        </w:rPr>
      </w:pPr>
      <w:r>
        <w:rPr>
          <w:rFonts w:hint="eastAsia" w:ascii="宋体" w:hAnsi="宋体" w:cs="Arial"/>
          <w:b/>
          <w:color w:val="auto"/>
          <w:sz w:val="24"/>
          <w:szCs w:val="24"/>
        </w:rPr>
        <w:t>四、提交投标</w:t>
      </w:r>
      <w:r>
        <w:rPr>
          <w:rFonts w:ascii="宋体" w:hAnsi="宋体" w:cs="Arial"/>
          <w:b/>
          <w:color w:val="auto"/>
          <w:sz w:val="24"/>
          <w:szCs w:val="24"/>
        </w:rPr>
        <w:t>文件截止时间、开标时间和地点</w:t>
      </w:r>
    </w:p>
    <w:p>
      <w:pPr>
        <w:widowControl/>
        <w:spacing w:line="480" w:lineRule="exact"/>
        <w:ind w:firstLine="480"/>
        <w:jc w:val="left"/>
        <w:rPr>
          <w:rFonts w:ascii="宋体" w:hAnsi="宋体" w:cs="Arial"/>
          <w:bCs/>
          <w:color w:val="auto"/>
          <w:sz w:val="24"/>
          <w:szCs w:val="24"/>
          <w:u w:val="single"/>
        </w:rPr>
      </w:pPr>
      <w:r>
        <w:rPr>
          <w:rFonts w:hint="eastAsia" w:ascii="宋体" w:hAnsi="宋体" w:cs="Arial"/>
          <w:bCs/>
          <w:color w:val="auto"/>
          <w:sz w:val="24"/>
          <w:szCs w:val="24"/>
        </w:rPr>
        <w:t>1.线上提交投标文件截止时间：</w:t>
      </w:r>
      <w:r>
        <w:rPr>
          <w:rFonts w:ascii="宋体" w:hAnsi="宋体" w:cs="Arial"/>
          <w:b/>
          <w:bCs/>
          <w:color w:val="auto"/>
          <w:sz w:val="24"/>
          <w:szCs w:val="24"/>
          <w:u w:val="single"/>
        </w:rPr>
        <w:t>2023</w:t>
      </w:r>
      <w:r>
        <w:rPr>
          <w:rFonts w:ascii="宋体" w:hAnsi="宋体" w:cs="Arial"/>
          <w:b/>
          <w:bCs/>
          <w:color w:val="auto"/>
          <w:sz w:val="24"/>
          <w:szCs w:val="24"/>
          <w:highlight w:val="none"/>
          <w:u w:val="single"/>
        </w:rPr>
        <w:t>年</w:t>
      </w:r>
      <w:r>
        <w:rPr>
          <w:rFonts w:hint="eastAsia" w:ascii="宋体" w:hAnsi="宋体" w:cs="Arial"/>
          <w:b/>
          <w:bCs/>
          <w:color w:val="auto"/>
          <w:sz w:val="24"/>
          <w:szCs w:val="24"/>
          <w:highlight w:val="none"/>
          <w:u w:val="single"/>
          <w:lang w:val="en-US" w:eastAsia="zh-CN"/>
        </w:rPr>
        <w:t>09 月19</w:t>
      </w:r>
      <w:r>
        <w:rPr>
          <w:rFonts w:ascii="宋体" w:hAnsi="宋体" w:cs="Arial"/>
          <w:b/>
          <w:bCs/>
          <w:color w:val="auto"/>
          <w:sz w:val="24"/>
          <w:szCs w:val="24"/>
          <w:highlight w:val="none"/>
          <w:u w:val="single"/>
        </w:rPr>
        <w:t>日0</w:t>
      </w:r>
      <w:r>
        <w:rPr>
          <w:rFonts w:ascii="宋体" w:hAnsi="宋体" w:cs="Arial"/>
          <w:b/>
          <w:bCs/>
          <w:color w:val="auto"/>
          <w:sz w:val="24"/>
          <w:szCs w:val="24"/>
          <w:u w:val="single"/>
        </w:rPr>
        <w:t>9</w:t>
      </w:r>
      <w:r>
        <w:rPr>
          <w:rFonts w:hint="eastAsia" w:ascii="宋体" w:hAnsi="宋体" w:cs="Arial"/>
          <w:b/>
          <w:bCs/>
          <w:color w:val="auto"/>
          <w:sz w:val="24"/>
          <w:szCs w:val="24"/>
          <w:u w:val="single"/>
        </w:rPr>
        <w:t>时</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2.线上开标时间：</w:t>
      </w:r>
      <w:r>
        <w:rPr>
          <w:rFonts w:ascii="宋体" w:hAnsi="宋体" w:cs="Arial"/>
          <w:b/>
          <w:bCs/>
          <w:color w:val="auto"/>
          <w:sz w:val="24"/>
          <w:szCs w:val="24"/>
          <w:u w:val="single"/>
        </w:rPr>
        <w:t>202</w:t>
      </w:r>
      <w:r>
        <w:rPr>
          <w:rFonts w:ascii="宋体" w:hAnsi="宋体" w:cs="Arial"/>
          <w:b/>
          <w:bCs/>
          <w:color w:val="auto"/>
          <w:sz w:val="24"/>
          <w:szCs w:val="24"/>
          <w:highlight w:val="none"/>
          <w:u w:val="single"/>
        </w:rPr>
        <w:t>3</w:t>
      </w:r>
      <w:r>
        <w:rPr>
          <w:rFonts w:hint="eastAsia" w:ascii="宋体" w:hAnsi="宋体" w:cs="Arial"/>
          <w:b/>
          <w:bCs/>
          <w:color w:val="auto"/>
          <w:sz w:val="24"/>
          <w:szCs w:val="24"/>
          <w:highlight w:val="none"/>
          <w:u w:val="single"/>
          <w:lang w:eastAsia="zh-CN"/>
        </w:rPr>
        <w:t>年</w:t>
      </w:r>
      <w:r>
        <w:rPr>
          <w:rFonts w:hint="eastAsia" w:ascii="宋体" w:hAnsi="宋体" w:cs="Arial"/>
          <w:b/>
          <w:bCs/>
          <w:color w:val="auto"/>
          <w:sz w:val="24"/>
          <w:szCs w:val="24"/>
          <w:highlight w:val="none"/>
          <w:u w:val="single"/>
          <w:lang w:val="en-US" w:eastAsia="zh-CN"/>
        </w:rPr>
        <w:t>09</w:t>
      </w:r>
      <w:r>
        <w:rPr>
          <w:rFonts w:ascii="宋体" w:hAnsi="宋体" w:cs="Arial"/>
          <w:b/>
          <w:bCs/>
          <w:color w:val="auto"/>
          <w:sz w:val="24"/>
          <w:szCs w:val="24"/>
          <w:highlight w:val="none"/>
          <w:u w:val="single"/>
        </w:rPr>
        <w:t>月</w:t>
      </w:r>
      <w:r>
        <w:rPr>
          <w:rFonts w:hint="eastAsia" w:ascii="宋体" w:hAnsi="宋体" w:cs="Arial"/>
          <w:b/>
          <w:bCs/>
          <w:color w:val="auto"/>
          <w:sz w:val="24"/>
          <w:szCs w:val="24"/>
          <w:highlight w:val="none"/>
          <w:u w:val="single"/>
          <w:lang w:val="en-US" w:eastAsia="zh-CN"/>
        </w:rPr>
        <w:t>19</w:t>
      </w:r>
      <w:r>
        <w:rPr>
          <w:rFonts w:ascii="宋体" w:hAnsi="宋体" w:cs="Arial"/>
          <w:b/>
          <w:bCs/>
          <w:color w:val="auto"/>
          <w:sz w:val="24"/>
          <w:szCs w:val="24"/>
          <w:highlight w:val="none"/>
          <w:u w:val="single"/>
        </w:rPr>
        <w:t>日0</w:t>
      </w:r>
      <w:r>
        <w:rPr>
          <w:rFonts w:ascii="宋体" w:hAnsi="宋体" w:cs="Arial"/>
          <w:b/>
          <w:bCs/>
          <w:color w:val="auto"/>
          <w:sz w:val="24"/>
          <w:szCs w:val="24"/>
          <w:u w:val="single"/>
        </w:rPr>
        <w:t>9</w:t>
      </w:r>
      <w:r>
        <w:rPr>
          <w:rFonts w:hint="eastAsia" w:ascii="宋体" w:hAnsi="宋体" w:cs="Arial"/>
          <w:b/>
          <w:bCs/>
          <w:color w:val="auto"/>
          <w:sz w:val="24"/>
          <w:szCs w:val="24"/>
          <w:u w:val="single"/>
        </w:rPr>
        <w:t>时</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3.线上开标地点：</w:t>
      </w:r>
      <w:r>
        <w:rPr>
          <w:rFonts w:hint="eastAsia" w:ascii="宋体" w:hAnsi="宋体" w:cs="Arial"/>
          <w:bCs/>
          <w:color w:val="auto"/>
          <w:sz w:val="24"/>
          <w:szCs w:val="24"/>
          <w:u w:val="single"/>
        </w:rPr>
        <w:t>“苏采云”系统（网址：http://jszfcg.jsczt.cn/）“开标大厅”</w:t>
      </w:r>
      <w:r>
        <w:rPr>
          <w:rFonts w:hint="eastAsia" w:ascii="宋体" w:hAnsi="宋体" w:cs="Arial"/>
          <w:bCs/>
          <w:color w:val="auto"/>
          <w:sz w:val="24"/>
          <w:szCs w:val="24"/>
        </w:rPr>
        <w:t>。</w:t>
      </w:r>
    </w:p>
    <w:p>
      <w:pPr>
        <w:widowControl/>
        <w:spacing w:line="480" w:lineRule="exact"/>
        <w:ind w:firstLine="482"/>
        <w:jc w:val="left"/>
        <w:rPr>
          <w:rFonts w:ascii="宋体" w:hAnsi="宋体" w:cs="Arial"/>
          <w:b/>
          <w:color w:val="auto"/>
          <w:sz w:val="24"/>
          <w:szCs w:val="24"/>
        </w:rPr>
      </w:pPr>
      <w:r>
        <w:rPr>
          <w:rFonts w:hint="eastAsia" w:ascii="宋体" w:hAnsi="宋体" w:cs="Arial"/>
          <w:b/>
          <w:color w:val="auto"/>
          <w:sz w:val="24"/>
          <w:szCs w:val="24"/>
        </w:rPr>
        <w:t>五</w:t>
      </w:r>
      <w:r>
        <w:rPr>
          <w:rFonts w:ascii="宋体" w:hAnsi="宋体" w:cs="Arial"/>
          <w:b/>
          <w:color w:val="auto"/>
          <w:sz w:val="24"/>
          <w:szCs w:val="24"/>
        </w:rPr>
        <w:t>、公告期限</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自</w:t>
      </w:r>
      <w:r>
        <w:rPr>
          <w:rFonts w:ascii="宋体" w:hAnsi="宋体" w:cs="Arial"/>
          <w:bCs/>
          <w:color w:val="auto"/>
          <w:sz w:val="24"/>
          <w:szCs w:val="24"/>
        </w:rPr>
        <w:t>本公告发布之日起</w:t>
      </w:r>
      <w:r>
        <w:rPr>
          <w:rFonts w:hint="eastAsia" w:ascii="宋体" w:hAnsi="宋体" w:cs="Arial"/>
          <w:bCs/>
          <w:color w:val="auto"/>
          <w:sz w:val="24"/>
          <w:szCs w:val="24"/>
        </w:rPr>
        <w:t>5个</w:t>
      </w:r>
      <w:r>
        <w:rPr>
          <w:rFonts w:ascii="宋体" w:hAnsi="宋体" w:cs="Arial"/>
          <w:bCs/>
          <w:color w:val="auto"/>
          <w:sz w:val="24"/>
          <w:szCs w:val="24"/>
        </w:rPr>
        <w:t>工作日</w:t>
      </w:r>
      <w:r>
        <w:rPr>
          <w:rFonts w:hint="eastAsia" w:ascii="宋体" w:hAnsi="宋体" w:cs="Arial"/>
          <w:bCs/>
          <w:color w:val="auto"/>
          <w:sz w:val="24"/>
          <w:szCs w:val="24"/>
        </w:rPr>
        <w:t>。</w:t>
      </w:r>
    </w:p>
    <w:p>
      <w:pPr>
        <w:widowControl/>
        <w:spacing w:line="480" w:lineRule="exact"/>
        <w:ind w:firstLine="482"/>
        <w:jc w:val="left"/>
        <w:rPr>
          <w:rFonts w:ascii="宋体" w:hAnsi="宋体" w:cs="Arial"/>
          <w:b/>
          <w:color w:val="auto"/>
          <w:sz w:val="24"/>
          <w:szCs w:val="24"/>
        </w:rPr>
      </w:pPr>
      <w:r>
        <w:rPr>
          <w:rFonts w:hint="eastAsia" w:ascii="宋体" w:hAnsi="宋体" w:cs="Arial"/>
          <w:b/>
          <w:color w:val="auto"/>
          <w:sz w:val="24"/>
          <w:szCs w:val="24"/>
        </w:rPr>
        <w:t>六</w:t>
      </w:r>
      <w:r>
        <w:rPr>
          <w:rFonts w:ascii="宋体" w:hAnsi="宋体" w:cs="Arial"/>
          <w:b/>
          <w:color w:val="auto"/>
          <w:sz w:val="24"/>
          <w:szCs w:val="24"/>
        </w:rPr>
        <w:t>、其他补充事宜</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1.各投标人在投标截止时间前应当每天都上网查询，以便获取更新的澄清、修改、补充内容。凡涉及到该项目的补充说明和修改，均以江苏政府采购网上的更正或补充通知为准。</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2.投标人如在投标过程中存在以下行为，将被列入不良行为记录名单。</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2.1提供虚假材料谋取中标成交的或采取不正当手段诋毁、排挤其他供应商的；</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2.2投标人递交无竞争力投标文件的。</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3.投标人存在串通投标、以他人名义投标、弄虚作假等违法违规行为，或者无正当理由放弃投标、中标资格，造成项目招标失败的，不得参加该项目重新招标的投标。</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w:t>
      </w:r>
      <w:r>
        <w:rPr>
          <w:rFonts w:ascii="宋体" w:hAnsi="宋体" w:cs="Arial"/>
          <w:bCs/>
          <w:color w:val="auto"/>
          <w:sz w:val="24"/>
          <w:szCs w:val="24"/>
        </w:rPr>
        <w:t>.</w:t>
      </w:r>
      <w:r>
        <w:rPr>
          <w:rFonts w:hint="eastAsia" w:ascii="宋体" w:hAnsi="宋体" w:cs="Arial"/>
          <w:bCs/>
          <w:color w:val="auto"/>
          <w:sz w:val="24"/>
          <w:szCs w:val="24"/>
        </w:rPr>
        <w:t>因供应商的系统环境、操作等原因导致报名、开评标过程中出现问题由供应商自行承担负责。</w:t>
      </w:r>
    </w:p>
    <w:p>
      <w:pPr>
        <w:widowControl/>
        <w:spacing w:line="480" w:lineRule="exact"/>
        <w:ind w:firstLine="482"/>
        <w:jc w:val="left"/>
        <w:rPr>
          <w:rFonts w:ascii="宋体" w:hAnsi="宋体" w:cs="Arial"/>
          <w:b/>
          <w:color w:val="auto"/>
          <w:sz w:val="24"/>
          <w:szCs w:val="24"/>
        </w:rPr>
      </w:pPr>
      <w:r>
        <w:rPr>
          <w:rFonts w:hint="eastAsia" w:ascii="宋体" w:hAnsi="宋体" w:cs="Arial"/>
          <w:b/>
          <w:color w:val="auto"/>
          <w:sz w:val="24"/>
          <w:szCs w:val="24"/>
        </w:rPr>
        <w:t>七</w:t>
      </w:r>
      <w:r>
        <w:rPr>
          <w:rFonts w:ascii="宋体" w:hAnsi="宋体" w:cs="Arial"/>
          <w:b/>
          <w:color w:val="auto"/>
          <w:sz w:val="24"/>
          <w:szCs w:val="24"/>
        </w:rPr>
        <w:t>、对本次招标提出询问，请按以下方式联系</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w:t>
      </w:r>
      <w:r>
        <w:rPr>
          <w:rFonts w:hint="eastAsia" w:ascii="宋体" w:hAnsi="宋体" w:cs="Arial"/>
          <w:bCs/>
          <w:color w:val="auto"/>
          <w:sz w:val="24"/>
          <w:szCs w:val="24"/>
        </w:rPr>
        <w:t>采购人</w:t>
      </w:r>
      <w:r>
        <w:rPr>
          <w:rFonts w:ascii="宋体" w:hAnsi="宋体" w:cs="Arial"/>
          <w:bCs/>
          <w:color w:val="auto"/>
          <w:sz w:val="24"/>
          <w:szCs w:val="24"/>
        </w:rPr>
        <w:t>信息</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名称：</w:t>
      </w:r>
      <w:r>
        <w:rPr>
          <w:rFonts w:hint="eastAsia" w:ascii="宋体" w:hAnsi="宋体" w:cs="宋体"/>
          <w:color w:val="auto"/>
          <w:sz w:val="24"/>
          <w:szCs w:val="24"/>
          <w:shd w:val="clear" w:color="auto" w:fill="FFFFFF"/>
        </w:rPr>
        <w:t>建湖县公安局</w:t>
      </w:r>
      <w:r>
        <w:rPr>
          <w:rFonts w:ascii="宋体" w:hAnsi="宋体" w:cs="Arial"/>
          <w:bCs/>
          <w:color w:val="auto"/>
          <w:sz w:val="24"/>
          <w:szCs w:val="24"/>
        </w:rPr>
        <w:t xml:space="preserve"> </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地址：建湖县公安路1号</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highlight w:val="none"/>
        </w:rPr>
        <w:t>联系电话：</w:t>
      </w:r>
      <w:r>
        <w:rPr>
          <w:rFonts w:hint="eastAsia" w:ascii="宋体" w:hAnsi="宋体" w:cs="Arial"/>
          <w:bCs/>
          <w:color w:val="auto"/>
          <w:sz w:val="24"/>
          <w:szCs w:val="24"/>
          <w:lang w:eastAsia="zh-CN"/>
        </w:rPr>
        <w:t>18205116199</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2.</w:t>
      </w:r>
      <w:r>
        <w:rPr>
          <w:rFonts w:hint="eastAsia" w:ascii="宋体" w:hAnsi="宋体" w:cs="Arial"/>
          <w:bCs/>
          <w:color w:val="auto"/>
          <w:sz w:val="24"/>
          <w:szCs w:val="24"/>
        </w:rPr>
        <w:t>采购代理机构信息</w:t>
      </w:r>
    </w:p>
    <w:p>
      <w:pPr>
        <w:widowControl/>
        <w:spacing w:line="480" w:lineRule="exact"/>
        <w:ind w:firstLine="480"/>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rPr>
        <w:t>名称：江苏</w:t>
      </w:r>
      <w:r>
        <w:rPr>
          <w:rFonts w:hint="eastAsia" w:ascii="宋体" w:hAnsi="宋体" w:cs="Arial"/>
          <w:bCs/>
          <w:color w:val="auto"/>
          <w:sz w:val="24"/>
          <w:szCs w:val="24"/>
          <w:lang w:val="en-US" w:eastAsia="zh-CN"/>
        </w:rPr>
        <w:t>永悦工程项目管理有限公司</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地址：建湖县双湖路建设大厦</w:t>
      </w:r>
      <w:r>
        <w:rPr>
          <w:rFonts w:hint="eastAsia" w:ascii="宋体" w:hAnsi="宋体" w:cs="Arial"/>
          <w:bCs/>
          <w:color w:val="auto"/>
          <w:sz w:val="24"/>
          <w:szCs w:val="24"/>
          <w:lang w:val="en-US" w:eastAsia="zh-CN"/>
        </w:rPr>
        <w:t>十三</w:t>
      </w:r>
      <w:r>
        <w:rPr>
          <w:rFonts w:hint="eastAsia" w:ascii="宋体" w:hAnsi="宋体" w:cs="Arial"/>
          <w:bCs/>
          <w:color w:val="auto"/>
          <w:sz w:val="24"/>
          <w:szCs w:val="24"/>
        </w:rPr>
        <w:t>楼</w:t>
      </w:r>
    </w:p>
    <w:p>
      <w:pPr>
        <w:widowControl/>
        <w:spacing w:line="480" w:lineRule="exact"/>
        <w:ind w:firstLine="480"/>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rPr>
        <w:t>联系电话：</w:t>
      </w:r>
      <w:r>
        <w:rPr>
          <w:rFonts w:hint="eastAsia" w:ascii="宋体" w:hAnsi="宋体" w:cs="Arial"/>
          <w:bCs/>
          <w:color w:val="auto"/>
          <w:sz w:val="24"/>
          <w:szCs w:val="24"/>
          <w:lang w:val="en-US" w:eastAsia="zh-CN"/>
        </w:rPr>
        <w:t>18068864080</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3.</w:t>
      </w:r>
      <w:r>
        <w:rPr>
          <w:rFonts w:hint="eastAsia" w:ascii="宋体" w:hAnsi="宋体" w:cs="Arial"/>
          <w:bCs/>
          <w:color w:val="auto"/>
          <w:sz w:val="24"/>
          <w:szCs w:val="24"/>
        </w:rPr>
        <w:t>项目联系方式</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项目联系人：</w:t>
      </w:r>
      <w:r>
        <w:rPr>
          <w:rFonts w:hint="eastAsia" w:ascii="宋体" w:hAnsi="宋体" w:cs="Arial"/>
          <w:bCs/>
          <w:color w:val="auto"/>
          <w:sz w:val="24"/>
          <w:szCs w:val="24"/>
          <w:lang w:val="en-US" w:eastAsia="zh-CN"/>
        </w:rPr>
        <w:t>田</w:t>
      </w:r>
      <w:r>
        <w:rPr>
          <w:rFonts w:ascii="宋体" w:hAnsi="宋体" w:cs="Arial"/>
          <w:bCs/>
          <w:color w:val="auto"/>
          <w:sz w:val="24"/>
          <w:szCs w:val="24"/>
        </w:rPr>
        <w:t xml:space="preserve">  </w:t>
      </w:r>
      <w:r>
        <w:rPr>
          <w:rFonts w:hint="eastAsia" w:ascii="宋体" w:hAnsi="宋体" w:cs="Arial"/>
          <w:bCs/>
          <w:color w:val="auto"/>
          <w:sz w:val="24"/>
          <w:szCs w:val="24"/>
        </w:rPr>
        <w:t>工</w:t>
      </w:r>
    </w:p>
    <w:p>
      <w:pPr>
        <w:widowControl/>
        <w:spacing w:line="480" w:lineRule="exact"/>
        <w:ind w:firstLine="480"/>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rPr>
        <w:t>电话：</w:t>
      </w:r>
      <w:r>
        <w:rPr>
          <w:rFonts w:hint="eastAsia" w:ascii="宋体" w:hAnsi="宋体" w:cs="Arial"/>
          <w:bCs/>
          <w:color w:val="auto"/>
          <w:sz w:val="24"/>
          <w:szCs w:val="24"/>
          <w:lang w:val="en-US" w:eastAsia="zh-CN"/>
        </w:rPr>
        <w:t>18068864080</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w:t>
      </w:r>
      <w:r>
        <w:rPr>
          <w:rFonts w:ascii="宋体" w:hAnsi="宋体" w:cs="Arial"/>
          <w:bCs/>
          <w:color w:val="auto"/>
          <w:sz w:val="24"/>
          <w:szCs w:val="24"/>
        </w:rPr>
        <w:t>.</w:t>
      </w:r>
      <w:r>
        <w:rPr>
          <w:rFonts w:hint="eastAsia" w:ascii="宋体" w:hAnsi="宋体" w:cs="Arial"/>
          <w:bCs/>
          <w:color w:val="auto"/>
          <w:sz w:val="24"/>
          <w:szCs w:val="24"/>
        </w:rPr>
        <w:t>软件技术支持：</w:t>
      </w:r>
      <w:r>
        <w:rPr>
          <w:rFonts w:ascii="宋体" w:hAnsi="宋体" w:cs="Arial"/>
          <w:bCs/>
          <w:color w:val="auto"/>
          <w:sz w:val="24"/>
          <w:szCs w:val="24"/>
        </w:rPr>
        <w:t>0519-86722805</w:t>
      </w:r>
    </w:p>
    <w:p>
      <w:pPr>
        <w:widowControl/>
        <w:spacing w:line="480" w:lineRule="exact"/>
        <w:ind w:firstLine="480"/>
        <w:jc w:val="left"/>
        <w:rPr>
          <w:rFonts w:ascii="宋体" w:hAnsi="宋体" w:cs="Arial"/>
          <w:bCs/>
          <w:color w:val="auto"/>
          <w:sz w:val="24"/>
          <w:szCs w:val="24"/>
        </w:rPr>
      </w:pPr>
    </w:p>
    <w:p>
      <w:pPr>
        <w:spacing w:line="460" w:lineRule="exact"/>
        <w:ind w:left="2" w:firstLine="475"/>
        <w:jc w:val="right"/>
        <w:rPr>
          <w:rFonts w:ascii="宋体" w:hAnsi="宋体"/>
          <w:color w:val="auto"/>
          <w:sz w:val="24"/>
          <w:szCs w:val="24"/>
        </w:rPr>
      </w:pPr>
      <w:r>
        <w:rPr>
          <w:rFonts w:hint="eastAsia" w:ascii="宋体" w:hAnsi="宋体"/>
          <w:color w:val="auto"/>
          <w:sz w:val="24"/>
          <w:szCs w:val="24"/>
        </w:rPr>
        <w:t>建湖县公安局</w:t>
      </w:r>
    </w:p>
    <w:p>
      <w:pPr>
        <w:spacing w:before="156" w:after="156" w:line="400" w:lineRule="exact"/>
        <w:jc w:val="right"/>
        <w:outlineLvl w:val="1"/>
        <w:rPr>
          <w:rFonts w:ascii="宋体" w:hAnsi="宋体"/>
          <w:b/>
          <w:color w:val="auto"/>
          <w:sz w:val="24"/>
          <w:szCs w:val="24"/>
        </w:rPr>
      </w:pPr>
      <w:bookmarkStart w:id="7" w:name="_Toc130206639"/>
      <w:r>
        <w:rPr>
          <w:rFonts w:ascii="宋体" w:hAnsi="宋体"/>
          <w:color w:val="auto"/>
          <w:sz w:val="24"/>
          <w:szCs w:val="24"/>
        </w:rPr>
        <w:t>2023年08月</w:t>
      </w:r>
      <w:r>
        <w:rPr>
          <w:rFonts w:hint="eastAsia" w:ascii="宋体" w:hAnsi="宋体"/>
          <w:color w:val="auto"/>
          <w:sz w:val="24"/>
          <w:szCs w:val="24"/>
          <w:lang w:val="en-US" w:eastAsia="zh-CN"/>
        </w:rPr>
        <w:t>29</w:t>
      </w:r>
      <w:r>
        <w:rPr>
          <w:rFonts w:ascii="宋体" w:hAnsi="宋体"/>
          <w:color w:val="auto"/>
          <w:sz w:val="24"/>
          <w:szCs w:val="24"/>
        </w:rPr>
        <w:t>日</w:t>
      </w:r>
      <w:bookmarkEnd w:id="7"/>
    </w:p>
    <w:p>
      <w:pPr>
        <w:spacing w:before="156" w:after="156" w:line="400" w:lineRule="exact"/>
        <w:jc w:val="center"/>
        <w:outlineLvl w:val="1"/>
        <w:rPr>
          <w:rFonts w:ascii="宋体" w:hAnsi="宋体"/>
          <w:b/>
          <w:color w:val="auto"/>
          <w:sz w:val="24"/>
          <w:szCs w:val="24"/>
        </w:rPr>
      </w:pPr>
    </w:p>
    <w:p>
      <w:pPr>
        <w:spacing w:before="156" w:after="156" w:line="400" w:lineRule="exact"/>
        <w:jc w:val="center"/>
        <w:outlineLvl w:val="1"/>
        <w:rPr>
          <w:rFonts w:ascii="宋体" w:hAnsi="宋体"/>
          <w:b/>
          <w:color w:val="auto"/>
          <w:sz w:val="24"/>
          <w:szCs w:val="24"/>
        </w:rPr>
      </w:pPr>
    </w:p>
    <w:p>
      <w:pPr>
        <w:spacing w:before="156" w:after="156" w:line="400" w:lineRule="exact"/>
        <w:jc w:val="center"/>
        <w:outlineLvl w:val="1"/>
        <w:rPr>
          <w:rFonts w:ascii="宋体" w:hAnsi="宋体"/>
          <w:b/>
          <w:color w:val="auto"/>
          <w:sz w:val="24"/>
          <w:szCs w:val="24"/>
        </w:rPr>
      </w:pPr>
    </w:p>
    <w:p>
      <w:pPr>
        <w:spacing w:before="156" w:after="156" w:line="400" w:lineRule="exact"/>
        <w:jc w:val="center"/>
        <w:outlineLvl w:val="1"/>
        <w:rPr>
          <w:rFonts w:ascii="宋体" w:hAnsi="宋体"/>
          <w:b/>
          <w:color w:val="auto"/>
          <w:sz w:val="24"/>
          <w:szCs w:val="24"/>
        </w:rPr>
      </w:pPr>
    </w:p>
    <w:p>
      <w:pPr>
        <w:spacing w:before="156" w:after="156" w:line="400" w:lineRule="exact"/>
        <w:jc w:val="center"/>
        <w:outlineLvl w:val="1"/>
        <w:rPr>
          <w:rFonts w:ascii="宋体" w:hAnsi="宋体"/>
          <w:b/>
          <w:color w:val="auto"/>
          <w:sz w:val="24"/>
          <w:szCs w:val="24"/>
        </w:rPr>
      </w:pPr>
    </w:p>
    <w:p>
      <w:pPr>
        <w:spacing w:before="156" w:after="156" w:line="400" w:lineRule="exact"/>
        <w:jc w:val="center"/>
        <w:outlineLvl w:val="1"/>
        <w:rPr>
          <w:rFonts w:ascii="宋体" w:hAnsi="宋体"/>
          <w:b/>
          <w:color w:val="auto"/>
          <w:sz w:val="24"/>
          <w:szCs w:val="24"/>
        </w:rPr>
      </w:pPr>
    </w:p>
    <w:p>
      <w:pPr>
        <w:spacing w:before="156" w:after="156" w:line="400" w:lineRule="exact"/>
        <w:jc w:val="center"/>
        <w:outlineLvl w:val="1"/>
        <w:rPr>
          <w:rFonts w:ascii="宋体" w:hAnsi="宋体"/>
          <w:b/>
          <w:color w:val="auto"/>
          <w:sz w:val="24"/>
          <w:szCs w:val="24"/>
        </w:rPr>
      </w:pPr>
    </w:p>
    <w:p>
      <w:pPr>
        <w:spacing w:before="156" w:after="156" w:line="400" w:lineRule="exact"/>
        <w:jc w:val="center"/>
        <w:outlineLvl w:val="1"/>
        <w:rPr>
          <w:rFonts w:ascii="宋体" w:hAnsi="宋体"/>
          <w:b/>
          <w:color w:val="auto"/>
          <w:sz w:val="24"/>
          <w:szCs w:val="24"/>
        </w:rPr>
      </w:pPr>
    </w:p>
    <w:p>
      <w:pPr>
        <w:spacing w:before="156" w:after="156" w:line="400" w:lineRule="exact"/>
        <w:jc w:val="center"/>
        <w:outlineLvl w:val="1"/>
        <w:rPr>
          <w:rFonts w:ascii="宋体" w:hAnsi="宋体"/>
          <w:b/>
          <w:color w:val="auto"/>
          <w:sz w:val="24"/>
          <w:szCs w:val="24"/>
        </w:rPr>
      </w:pPr>
    </w:p>
    <w:p>
      <w:pPr>
        <w:spacing w:before="156" w:after="156" w:line="400" w:lineRule="exact"/>
        <w:jc w:val="center"/>
        <w:outlineLvl w:val="1"/>
        <w:rPr>
          <w:rFonts w:ascii="宋体" w:hAnsi="宋体"/>
          <w:b/>
          <w:color w:val="auto"/>
          <w:sz w:val="24"/>
          <w:szCs w:val="24"/>
        </w:rPr>
      </w:pPr>
    </w:p>
    <w:p>
      <w:pPr>
        <w:spacing w:before="156" w:after="156" w:line="400" w:lineRule="exact"/>
        <w:jc w:val="center"/>
        <w:outlineLvl w:val="1"/>
        <w:rPr>
          <w:rFonts w:ascii="宋体" w:hAnsi="宋体"/>
          <w:b/>
          <w:color w:val="auto"/>
          <w:sz w:val="24"/>
          <w:szCs w:val="24"/>
        </w:rPr>
      </w:pPr>
    </w:p>
    <w:p>
      <w:pPr>
        <w:spacing w:before="156" w:after="156" w:line="400" w:lineRule="exact"/>
        <w:jc w:val="center"/>
        <w:outlineLvl w:val="1"/>
        <w:rPr>
          <w:rFonts w:hint="eastAsia" w:ascii="宋体" w:hAnsi="宋体"/>
          <w:b/>
          <w:color w:val="auto"/>
          <w:sz w:val="24"/>
          <w:szCs w:val="24"/>
        </w:rPr>
      </w:pPr>
    </w:p>
    <w:p>
      <w:pPr>
        <w:spacing w:before="156" w:after="156" w:line="400" w:lineRule="exact"/>
        <w:jc w:val="center"/>
        <w:outlineLvl w:val="1"/>
        <w:rPr>
          <w:rFonts w:ascii="宋体" w:hAnsi="宋体"/>
          <w:b/>
          <w:color w:val="auto"/>
          <w:sz w:val="24"/>
          <w:szCs w:val="24"/>
        </w:rPr>
      </w:pPr>
    </w:p>
    <w:p>
      <w:pPr>
        <w:rPr>
          <w:rFonts w:hint="eastAsia" w:ascii="宋体" w:hAnsi="宋体" w:cs="宋体"/>
          <w:b/>
          <w:color w:val="auto"/>
          <w:sz w:val="32"/>
          <w:szCs w:val="32"/>
        </w:rPr>
      </w:pPr>
      <w:bookmarkStart w:id="8" w:name="_Toc130206640"/>
      <w:r>
        <w:rPr>
          <w:rFonts w:hint="eastAsia" w:ascii="宋体" w:hAnsi="宋体" w:cs="宋体"/>
          <w:b/>
          <w:color w:val="auto"/>
          <w:sz w:val="32"/>
          <w:szCs w:val="32"/>
        </w:rPr>
        <w:br w:type="page"/>
      </w:r>
    </w:p>
    <w:p>
      <w:pPr>
        <w:tabs>
          <w:tab w:val="center" w:pos="4718"/>
        </w:tabs>
        <w:spacing w:line="480" w:lineRule="exact"/>
        <w:jc w:val="center"/>
        <w:outlineLvl w:val="0"/>
        <w:rPr>
          <w:rFonts w:ascii="宋体" w:hAnsi="宋体" w:cs="宋体"/>
          <w:b/>
          <w:color w:val="auto"/>
          <w:sz w:val="32"/>
          <w:szCs w:val="32"/>
        </w:rPr>
      </w:pPr>
      <w:r>
        <w:rPr>
          <w:rFonts w:hint="eastAsia" w:ascii="宋体" w:hAnsi="宋体" w:cs="宋体"/>
          <w:b/>
          <w:color w:val="auto"/>
          <w:sz w:val="32"/>
          <w:szCs w:val="32"/>
        </w:rPr>
        <w:t>第二章  投标须知</w:t>
      </w:r>
      <w:bookmarkEnd w:id="8"/>
    </w:p>
    <w:p>
      <w:pPr>
        <w:spacing w:before="156" w:after="156" w:line="400" w:lineRule="exact"/>
        <w:ind w:left="238"/>
        <w:jc w:val="center"/>
        <w:outlineLvl w:val="1"/>
        <w:rPr>
          <w:rFonts w:ascii="宋体" w:hAnsi="宋体"/>
          <w:b/>
          <w:color w:val="auto"/>
          <w:sz w:val="24"/>
          <w:szCs w:val="24"/>
        </w:rPr>
      </w:pPr>
      <w:bookmarkStart w:id="9" w:name="_Toc120519610"/>
      <w:bookmarkStart w:id="10" w:name="_Toc130206641"/>
      <w:r>
        <w:rPr>
          <w:rFonts w:hint="eastAsia" w:ascii="宋体" w:hAnsi="宋体"/>
          <w:b/>
          <w:color w:val="auto"/>
          <w:sz w:val="24"/>
          <w:szCs w:val="24"/>
        </w:rPr>
        <w:t>一、投标须知前附表</w:t>
      </w:r>
      <w:bookmarkEnd w:id="9"/>
      <w:bookmarkEnd w:id="10"/>
    </w:p>
    <w:tbl>
      <w:tblPr>
        <w:tblStyle w:val="39"/>
        <w:tblW w:w="92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677"/>
        <w:gridCol w:w="2417"/>
        <w:gridCol w:w="2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项目名称</w:t>
            </w:r>
          </w:p>
        </w:tc>
        <w:tc>
          <w:tcPr>
            <w:tcW w:w="7511" w:type="dxa"/>
            <w:gridSpan w:val="3"/>
            <w:noWrap w:val="0"/>
            <w:vAlign w:val="center"/>
          </w:tcPr>
          <w:p>
            <w:pPr>
              <w:widowControl/>
              <w:spacing w:line="240" w:lineRule="exact"/>
              <w:jc w:val="center"/>
              <w:rPr>
                <w:rFonts w:hint="eastAsia" w:ascii="宋体" w:hAnsi="宋体" w:eastAsia="宋体" w:cs="Arial"/>
                <w:bCs/>
                <w:color w:val="auto"/>
                <w:sz w:val="20"/>
                <w:szCs w:val="21"/>
                <w:lang w:eastAsia="zh-CN"/>
              </w:rPr>
            </w:pPr>
            <w:r>
              <w:rPr>
                <w:rFonts w:hint="eastAsia" w:ascii="宋体" w:hAnsi="宋体" w:cs="Arial"/>
                <w:bCs/>
                <w:color w:val="auto"/>
                <w:sz w:val="20"/>
                <w:szCs w:val="21"/>
                <w:lang w:eastAsia="zh-CN"/>
              </w:rPr>
              <w:t>建湖县公安局智能枪弹库建设采购项目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采购需求</w:t>
            </w:r>
          </w:p>
        </w:tc>
        <w:tc>
          <w:tcPr>
            <w:tcW w:w="7511" w:type="dxa"/>
            <w:gridSpan w:val="3"/>
            <w:noWrap w:val="0"/>
            <w:vAlign w:val="center"/>
          </w:tcPr>
          <w:p>
            <w:pPr>
              <w:widowControl/>
              <w:spacing w:line="240" w:lineRule="exact"/>
              <w:jc w:val="center"/>
              <w:rPr>
                <w:rFonts w:ascii="宋体" w:hAnsi="宋体" w:cs="宋体"/>
                <w:color w:val="auto"/>
                <w:sz w:val="20"/>
                <w:szCs w:val="21"/>
              </w:rPr>
            </w:pPr>
            <w:r>
              <w:rPr>
                <w:rFonts w:hint="eastAsia" w:ascii="宋体" w:hAnsi="宋体" w:cs="宋体"/>
                <w:color w:val="auto"/>
                <w:sz w:val="20"/>
                <w:szCs w:val="21"/>
              </w:rPr>
              <w:t>具体内容详见招标文件第三章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项目地点</w:t>
            </w:r>
          </w:p>
        </w:tc>
        <w:tc>
          <w:tcPr>
            <w:tcW w:w="7511" w:type="dxa"/>
            <w:gridSpan w:val="3"/>
            <w:noWrap w:val="0"/>
            <w:vAlign w:val="center"/>
          </w:tcPr>
          <w:p>
            <w:pPr>
              <w:spacing w:line="240" w:lineRule="exact"/>
              <w:jc w:val="center"/>
              <w:rPr>
                <w:rFonts w:ascii="宋体" w:hAnsi="宋体"/>
                <w:color w:val="auto"/>
                <w:spacing w:val="14"/>
                <w:sz w:val="20"/>
                <w:szCs w:val="21"/>
                <w:shd w:val="clear" w:color="auto" w:fill="FFFFFF"/>
              </w:rPr>
            </w:pPr>
            <w:r>
              <w:rPr>
                <w:rFonts w:hint="eastAsia" w:ascii="宋体" w:hAnsi="宋体"/>
                <w:bCs/>
                <w:color w:val="auto"/>
                <w:spacing w:val="14"/>
                <w:sz w:val="20"/>
                <w:szCs w:val="21"/>
                <w:shd w:val="clear" w:color="auto" w:fill="FFFFFF"/>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标段划分</w:t>
            </w:r>
          </w:p>
        </w:tc>
        <w:tc>
          <w:tcPr>
            <w:tcW w:w="7511" w:type="dxa"/>
            <w:gridSpan w:val="3"/>
            <w:noWrap w:val="0"/>
            <w:vAlign w:val="center"/>
          </w:tcPr>
          <w:p>
            <w:pPr>
              <w:spacing w:line="240" w:lineRule="exact"/>
              <w:jc w:val="center"/>
              <w:rPr>
                <w:rFonts w:ascii="宋体" w:hAnsi="宋体"/>
                <w:bCs/>
                <w:color w:val="auto"/>
                <w:sz w:val="20"/>
                <w:szCs w:val="21"/>
              </w:rPr>
            </w:pPr>
            <w:r>
              <w:rPr>
                <w:rFonts w:hint="eastAsia" w:ascii="宋体" w:hAnsi="宋体" w:cs="Arial"/>
                <w:bCs/>
                <w:color w:val="auto"/>
                <w:sz w:val="20"/>
                <w:szCs w:val="21"/>
              </w:rPr>
              <w:t>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2" w:type="dxa"/>
            <w:noWrap w:val="0"/>
            <w:vAlign w:val="center"/>
          </w:tcPr>
          <w:p>
            <w:pPr>
              <w:spacing w:line="240" w:lineRule="exact"/>
              <w:jc w:val="center"/>
              <w:rPr>
                <w:rFonts w:ascii="宋体" w:hAnsi="宋体"/>
                <w:bCs/>
                <w:color w:val="auto"/>
                <w:sz w:val="20"/>
                <w:szCs w:val="21"/>
                <w:highlight w:val="none"/>
              </w:rPr>
            </w:pPr>
            <w:r>
              <w:rPr>
                <w:rFonts w:hint="eastAsia" w:ascii="宋体" w:hAnsi="宋体"/>
                <w:bCs/>
                <w:color w:val="auto"/>
                <w:sz w:val="20"/>
                <w:szCs w:val="21"/>
                <w:highlight w:val="none"/>
              </w:rPr>
              <w:t>采购单位联系人</w:t>
            </w:r>
          </w:p>
        </w:tc>
        <w:tc>
          <w:tcPr>
            <w:tcW w:w="2677" w:type="dxa"/>
            <w:noWrap w:val="0"/>
            <w:vAlign w:val="center"/>
          </w:tcPr>
          <w:p>
            <w:pPr>
              <w:spacing w:line="240" w:lineRule="exact"/>
              <w:jc w:val="center"/>
              <w:rPr>
                <w:rFonts w:hint="eastAsia" w:ascii="宋体" w:hAnsi="宋体" w:eastAsia="宋体"/>
                <w:bCs/>
                <w:color w:val="auto"/>
                <w:sz w:val="20"/>
                <w:szCs w:val="21"/>
                <w:highlight w:val="none"/>
                <w:lang w:eastAsia="zh-CN"/>
              </w:rPr>
            </w:pPr>
            <w:r>
              <w:rPr>
                <w:rFonts w:hint="eastAsia" w:ascii="宋体" w:hAnsi="宋体"/>
                <w:bCs/>
                <w:color w:val="auto"/>
                <w:sz w:val="20"/>
                <w:szCs w:val="21"/>
                <w:highlight w:val="none"/>
                <w:lang w:eastAsia="zh-CN"/>
              </w:rPr>
              <w:t>嵇先生</w:t>
            </w:r>
          </w:p>
        </w:tc>
        <w:tc>
          <w:tcPr>
            <w:tcW w:w="2417" w:type="dxa"/>
            <w:noWrap w:val="0"/>
            <w:vAlign w:val="center"/>
          </w:tcPr>
          <w:p>
            <w:pPr>
              <w:spacing w:line="240" w:lineRule="exact"/>
              <w:jc w:val="center"/>
              <w:rPr>
                <w:rFonts w:ascii="宋体" w:hAnsi="宋体"/>
                <w:bCs/>
                <w:color w:val="auto"/>
                <w:sz w:val="20"/>
                <w:szCs w:val="21"/>
                <w:highlight w:val="none"/>
              </w:rPr>
            </w:pPr>
            <w:r>
              <w:rPr>
                <w:rFonts w:hint="eastAsia" w:ascii="宋体" w:hAnsi="宋体"/>
                <w:bCs/>
                <w:color w:val="auto"/>
                <w:sz w:val="20"/>
                <w:szCs w:val="21"/>
                <w:highlight w:val="none"/>
              </w:rPr>
              <w:t>电  话</w:t>
            </w:r>
          </w:p>
        </w:tc>
        <w:tc>
          <w:tcPr>
            <w:tcW w:w="2417"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lang w:eastAsia="zh-CN"/>
              </w:rPr>
              <w:t>18205116199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代理机构联系人</w:t>
            </w:r>
          </w:p>
        </w:tc>
        <w:tc>
          <w:tcPr>
            <w:tcW w:w="2677" w:type="dxa"/>
            <w:noWrap w:val="0"/>
            <w:vAlign w:val="center"/>
          </w:tcPr>
          <w:p>
            <w:pPr>
              <w:spacing w:line="240" w:lineRule="exact"/>
              <w:jc w:val="center"/>
              <w:rPr>
                <w:rFonts w:hint="eastAsia" w:ascii="宋体" w:hAnsi="宋体" w:eastAsia="宋体"/>
                <w:bCs/>
                <w:color w:val="auto"/>
                <w:sz w:val="20"/>
                <w:szCs w:val="21"/>
                <w:lang w:eastAsia="zh-CN"/>
              </w:rPr>
            </w:pPr>
            <w:r>
              <w:rPr>
                <w:rFonts w:hint="eastAsia" w:ascii="宋体" w:hAnsi="宋体"/>
                <w:bCs/>
                <w:color w:val="auto"/>
                <w:sz w:val="20"/>
                <w:szCs w:val="21"/>
                <w:lang w:eastAsia="zh-CN"/>
              </w:rPr>
              <w:t>田女士</w:t>
            </w:r>
          </w:p>
        </w:tc>
        <w:tc>
          <w:tcPr>
            <w:tcW w:w="2417"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电  话</w:t>
            </w:r>
          </w:p>
        </w:tc>
        <w:tc>
          <w:tcPr>
            <w:tcW w:w="2417" w:type="dxa"/>
            <w:noWrap w:val="0"/>
            <w:vAlign w:val="center"/>
          </w:tcPr>
          <w:p>
            <w:pPr>
              <w:spacing w:line="240" w:lineRule="exact"/>
              <w:jc w:val="center"/>
              <w:rPr>
                <w:rFonts w:hint="default" w:ascii="宋体" w:hAnsi="宋体" w:eastAsia="宋体"/>
                <w:bCs/>
                <w:color w:val="auto"/>
                <w:sz w:val="20"/>
                <w:szCs w:val="21"/>
                <w:lang w:val="en-US" w:eastAsia="zh-CN"/>
              </w:rPr>
            </w:pPr>
            <w:r>
              <w:rPr>
                <w:rFonts w:hint="eastAsia" w:ascii="宋体" w:hAnsi="宋体"/>
                <w:bCs/>
                <w:color w:val="auto"/>
                <w:sz w:val="20"/>
                <w:szCs w:val="21"/>
                <w:lang w:val="en-US" w:eastAsia="zh-CN"/>
              </w:rPr>
              <w:t>18068864080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投标保证金</w:t>
            </w:r>
          </w:p>
        </w:tc>
        <w:tc>
          <w:tcPr>
            <w:tcW w:w="7511" w:type="dxa"/>
            <w:gridSpan w:val="3"/>
            <w:noWrap w:val="0"/>
            <w:vAlign w:val="center"/>
          </w:tcPr>
          <w:p>
            <w:pPr>
              <w:spacing w:line="240" w:lineRule="exact"/>
              <w:rPr>
                <w:rFonts w:ascii="宋体" w:hAnsi="宋体"/>
                <w:bCs/>
                <w:color w:val="auto"/>
                <w:sz w:val="20"/>
                <w:szCs w:val="21"/>
              </w:rPr>
            </w:pPr>
            <w:r>
              <w:rPr>
                <w:rFonts w:hint="eastAsia" w:ascii="宋体" w:hAnsi="宋体"/>
                <w:bCs/>
                <w:color w:val="auto"/>
                <w:sz w:val="20"/>
                <w:szCs w:val="21"/>
              </w:rPr>
              <w:t>为贯彻落实苏财购[2020]52号文件精神，该项目投标人可免交投标保证金。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履约保证金</w:t>
            </w:r>
          </w:p>
        </w:tc>
        <w:tc>
          <w:tcPr>
            <w:tcW w:w="7511" w:type="dxa"/>
            <w:gridSpan w:val="3"/>
            <w:noWrap w:val="0"/>
            <w:vAlign w:val="center"/>
          </w:tcPr>
          <w:p>
            <w:pPr>
              <w:widowControl/>
              <w:spacing w:line="300" w:lineRule="exact"/>
              <w:jc w:val="left"/>
              <w:rPr>
                <w:rFonts w:ascii="宋体" w:hAnsi="宋体" w:cs="宋体"/>
                <w:color w:val="auto"/>
                <w:sz w:val="20"/>
                <w:szCs w:val="21"/>
              </w:rPr>
            </w:pPr>
            <w:r>
              <w:rPr>
                <w:rFonts w:hint="eastAsia" w:ascii="宋体" w:hAnsi="宋体" w:cs="宋体"/>
                <w:bCs/>
                <w:color w:val="auto"/>
                <w:sz w:val="20"/>
                <w:szCs w:val="21"/>
              </w:rPr>
              <w:t>中标单位在签订合同前须向采购人交纳中标价的5%作为履约保证金，在项目结束验收合格后退还。履约保证金用以约束成交供应商在合同履行中的行为，弥补合同执行中由于自身行为可能给采购人带来的各种损失。对提供第三方信用服务机构依据标准规范评定为AA级及以上的政府采购供应商（须在签订采购合同前提供信用管理部门备案的第三方信用报告，且信用报告通过“信用盐城网”可查实）向采购人交纳中标价2.5%的履约保证金。履约保证金形式：供应商应当以支票、汇票、本票或者金融机构、担保机构出具的保函等非现金形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702" w:type="dxa"/>
            <w:noWrap w:val="0"/>
            <w:vAlign w:val="center"/>
          </w:tcPr>
          <w:p>
            <w:pPr>
              <w:spacing w:line="240" w:lineRule="exact"/>
              <w:jc w:val="center"/>
              <w:rPr>
                <w:rFonts w:ascii="宋体" w:hAnsi="宋体" w:cs="Arial"/>
                <w:bCs/>
                <w:color w:val="auto"/>
                <w:sz w:val="20"/>
                <w:szCs w:val="21"/>
              </w:rPr>
            </w:pPr>
            <w:r>
              <w:rPr>
                <w:rFonts w:hint="eastAsia" w:ascii="宋体" w:hAnsi="宋体" w:cs="Arial"/>
                <w:bCs/>
                <w:color w:val="auto"/>
                <w:sz w:val="20"/>
                <w:szCs w:val="21"/>
              </w:rPr>
              <w:t>合同履行</w:t>
            </w:r>
            <w:r>
              <w:rPr>
                <w:rFonts w:ascii="宋体" w:hAnsi="宋体" w:cs="Arial"/>
                <w:bCs/>
                <w:color w:val="auto"/>
                <w:sz w:val="20"/>
                <w:szCs w:val="21"/>
              </w:rPr>
              <w:t>期限</w:t>
            </w:r>
          </w:p>
        </w:tc>
        <w:tc>
          <w:tcPr>
            <w:tcW w:w="7511" w:type="dxa"/>
            <w:gridSpan w:val="3"/>
            <w:noWrap w:val="0"/>
            <w:vAlign w:val="center"/>
          </w:tcPr>
          <w:p>
            <w:pPr>
              <w:spacing w:line="240" w:lineRule="exact"/>
              <w:jc w:val="left"/>
              <w:rPr>
                <w:rFonts w:ascii="宋体" w:hAnsi="宋体" w:cs="Arial"/>
                <w:color w:val="auto"/>
                <w:sz w:val="20"/>
                <w:szCs w:val="21"/>
              </w:rPr>
            </w:pPr>
            <w:r>
              <w:rPr>
                <w:rFonts w:hint="eastAsia" w:ascii="宋体" w:hAnsi="宋体"/>
                <w:bCs/>
                <w:color w:val="auto"/>
                <w:sz w:val="20"/>
                <w:szCs w:val="21"/>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投标有效期</w:t>
            </w:r>
          </w:p>
        </w:tc>
        <w:tc>
          <w:tcPr>
            <w:tcW w:w="7511" w:type="dxa"/>
            <w:gridSpan w:val="3"/>
            <w:noWrap w:val="0"/>
            <w:vAlign w:val="center"/>
          </w:tcPr>
          <w:p>
            <w:pPr>
              <w:spacing w:line="240" w:lineRule="exact"/>
              <w:jc w:val="left"/>
              <w:rPr>
                <w:rFonts w:ascii="宋体" w:hAnsi="宋体"/>
                <w:color w:val="auto"/>
                <w:sz w:val="20"/>
                <w:szCs w:val="21"/>
              </w:rPr>
            </w:pPr>
            <w:r>
              <w:rPr>
                <w:rFonts w:hint="eastAsia" w:ascii="宋体" w:hAnsi="宋体"/>
                <w:color w:val="auto"/>
                <w:sz w:val="20"/>
                <w:szCs w:val="21"/>
              </w:rPr>
              <w:t>投标截止日起</w:t>
            </w:r>
            <w:r>
              <w:rPr>
                <w:rFonts w:ascii="宋体" w:hAnsi="宋体"/>
                <w:color w:val="auto"/>
                <w:sz w:val="20"/>
                <w:szCs w:val="21"/>
              </w:rPr>
              <w:t>60</w:t>
            </w:r>
            <w:r>
              <w:rPr>
                <w:rFonts w:hint="eastAsia" w:ascii="宋体" w:hAnsi="宋体"/>
                <w:color w:val="auto"/>
                <w:sz w:val="20"/>
                <w:szCs w:val="21"/>
              </w:rPr>
              <w:t>天（日历天）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投标截止时间</w:t>
            </w:r>
          </w:p>
        </w:tc>
        <w:tc>
          <w:tcPr>
            <w:tcW w:w="7511" w:type="dxa"/>
            <w:gridSpan w:val="3"/>
            <w:noWrap w:val="0"/>
            <w:vAlign w:val="center"/>
          </w:tcPr>
          <w:p>
            <w:pPr>
              <w:spacing w:line="400" w:lineRule="exact"/>
              <w:jc w:val="left"/>
              <w:rPr>
                <w:rFonts w:ascii="宋体" w:hAnsi="宋体"/>
                <w:b/>
                <w:bCs/>
                <w:color w:val="auto"/>
                <w:sz w:val="20"/>
                <w:szCs w:val="21"/>
                <w:highlight w:val="none"/>
              </w:rPr>
            </w:pPr>
            <w:r>
              <w:rPr>
                <w:rFonts w:hint="eastAsia" w:ascii="宋体" w:hAnsi="宋体" w:cs="宋体"/>
                <w:b/>
                <w:color w:val="auto"/>
                <w:sz w:val="20"/>
                <w:szCs w:val="21"/>
                <w:highlight w:val="none"/>
              </w:rPr>
              <w:t>时间:</w:t>
            </w:r>
            <w:r>
              <w:rPr>
                <w:rFonts w:ascii="宋体" w:hAnsi="宋体"/>
                <w:b/>
                <w:bCs/>
                <w:color w:val="auto"/>
                <w:sz w:val="20"/>
                <w:szCs w:val="21"/>
                <w:highlight w:val="none"/>
                <w:u w:val="single"/>
              </w:rPr>
              <w:t>2023年</w:t>
            </w:r>
            <w:r>
              <w:rPr>
                <w:rFonts w:hint="eastAsia" w:ascii="宋体" w:hAnsi="宋体"/>
                <w:b/>
                <w:bCs/>
                <w:color w:val="auto"/>
                <w:sz w:val="20"/>
                <w:szCs w:val="21"/>
                <w:highlight w:val="none"/>
                <w:u w:val="single"/>
                <w:lang w:val="en-US" w:eastAsia="zh-CN"/>
              </w:rPr>
              <w:t>09</w:t>
            </w:r>
            <w:r>
              <w:rPr>
                <w:rFonts w:ascii="宋体" w:hAnsi="宋体"/>
                <w:b/>
                <w:bCs/>
                <w:color w:val="auto"/>
                <w:sz w:val="20"/>
                <w:szCs w:val="21"/>
                <w:highlight w:val="none"/>
                <w:u w:val="single"/>
              </w:rPr>
              <w:t>月</w:t>
            </w:r>
            <w:r>
              <w:rPr>
                <w:rFonts w:hint="eastAsia" w:ascii="宋体" w:hAnsi="宋体"/>
                <w:b/>
                <w:bCs/>
                <w:color w:val="auto"/>
                <w:sz w:val="20"/>
                <w:szCs w:val="21"/>
                <w:highlight w:val="none"/>
                <w:u w:val="single"/>
                <w:lang w:val="en-US" w:eastAsia="zh-CN"/>
              </w:rPr>
              <w:t>19</w:t>
            </w:r>
            <w:r>
              <w:rPr>
                <w:rFonts w:ascii="宋体" w:hAnsi="宋体"/>
                <w:b/>
                <w:bCs/>
                <w:color w:val="auto"/>
                <w:sz w:val="20"/>
                <w:szCs w:val="21"/>
                <w:highlight w:val="none"/>
                <w:u w:val="single"/>
              </w:rPr>
              <w:t>日09</w:t>
            </w:r>
            <w:r>
              <w:rPr>
                <w:rFonts w:hint="eastAsia" w:ascii="宋体" w:hAnsi="宋体"/>
                <w:b/>
                <w:bCs/>
                <w:color w:val="auto"/>
                <w:sz w:val="20"/>
                <w:szCs w:val="21"/>
                <w:highlight w:val="none"/>
                <w:u w:val="single"/>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开标时间及地点</w:t>
            </w:r>
          </w:p>
        </w:tc>
        <w:tc>
          <w:tcPr>
            <w:tcW w:w="7511" w:type="dxa"/>
            <w:gridSpan w:val="3"/>
            <w:noWrap w:val="0"/>
            <w:vAlign w:val="center"/>
          </w:tcPr>
          <w:p>
            <w:pPr>
              <w:spacing w:line="400" w:lineRule="exact"/>
              <w:jc w:val="left"/>
              <w:rPr>
                <w:rFonts w:ascii="宋体" w:hAnsi="宋体"/>
                <w:b/>
                <w:bCs/>
                <w:color w:val="auto"/>
                <w:sz w:val="20"/>
                <w:szCs w:val="21"/>
                <w:highlight w:val="none"/>
                <w:u w:val="single"/>
              </w:rPr>
            </w:pPr>
            <w:r>
              <w:rPr>
                <w:rFonts w:hint="eastAsia" w:ascii="宋体" w:hAnsi="宋体" w:cs="宋体"/>
                <w:b/>
                <w:color w:val="auto"/>
                <w:sz w:val="20"/>
                <w:szCs w:val="21"/>
                <w:highlight w:val="none"/>
              </w:rPr>
              <w:t>时间:</w:t>
            </w:r>
            <w:r>
              <w:rPr>
                <w:rFonts w:ascii="宋体" w:hAnsi="宋体"/>
                <w:b/>
                <w:bCs/>
                <w:color w:val="auto"/>
                <w:sz w:val="20"/>
                <w:szCs w:val="21"/>
                <w:highlight w:val="none"/>
                <w:u w:val="single"/>
              </w:rPr>
              <w:t>2023年</w:t>
            </w:r>
            <w:r>
              <w:rPr>
                <w:rFonts w:hint="eastAsia" w:ascii="宋体" w:hAnsi="宋体"/>
                <w:b/>
                <w:bCs/>
                <w:color w:val="auto"/>
                <w:sz w:val="20"/>
                <w:szCs w:val="21"/>
                <w:highlight w:val="none"/>
                <w:u w:val="single"/>
                <w:lang w:val="en-US" w:eastAsia="zh-CN"/>
              </w:rPr>
              <w:t>09</w:t>
            </w:r>
            <w:r>
              <w:rPr>
                <w:rFonts w:ascii="宋体" w:hAnsi="宋体"/>
                <w:b/>
                <w:bCs/>
                <w:color w:val="auto"/>
                <w:sz w:val="20"/>
                <w:szCs w:val="21"/>
                <w:highlight w:val="none"/>
                <w:u w:val="single"/>
              </w:rPr>
              <w:t>月</w:t>
            </w:r>
            <w:r>
              <w:rPr>
                <w:rFonts w:hint="eastAsia" w:ascii="宋体" w:hAnsi="宋体"/>
                <w:b/>
                <w:bCs/>
                <w:color w:val="auto"/>
                <w:sz w:val="20"/>
                <w:szCs w:val="21"/>
                <w:highlight w:val="none"/>
                <w:u w:val="single"/>
                <w:lang w:val="en-US" w:eastAsia="zh-CN"/>
              </w:rPr>
              <w:t>19</w:t>
            </w:r>
            <w:r>
              <w:rPr>
                <w:rFonts w:ascii="宋体" w:hAnsi="宋体"/>
                <w:b/>
                <w:bCs/>
                <w:color w:val="auto"/>
                <w:sz w:val="20"/>
                <w:szCs w:val="21"/>
                <w:highlight w:val="none"/>
                <w:u w:val="single"/>
              </w:rPr>
              <w:t>日09</w:t>
            </w:r>
            <w:r>
              <w:rPr>
                <w:rFonts w:hint="eastAsia" w:ascii="宋体" w:hAnsi="宋体"/>
                <w:b/>
                <w:bCs/>
                <w:color w:val="auto"/>
                <w:sz w:val="20"/>
                <w:szCs w:val="21"/>
                <w:highlight w:val="none"/>
                <w:u w:val="single"/>
              </w:rPr>
              <w:t>时</w:t>
            </w:r>
          </w:p>
          <w:p>
            <w:pPr>
              <w:spacing w:line="400" w:lineRule="exact"/>
              <w:jc w:val="left"/>
              <w:rPr>
                <w:rFonts w:ascii="宋体" w:hAnsi="宋体" w:cs="宋体"/>
                <w:b/>
                <w:color w:val="auto"/>
                <w:sz w:val="20"/>
                <w:szCs w:val="21"/>
                <w:highlight w:val="none"/>
              </w:rPr>
            </w:pPr>
            <w:r>
              <w:rPr>
                <w:rFonts w:hint="eastAsia" w:ascii="宋体" w:hAnsi="宋体" w:cs="宋体"/>
                <w:b/>
                <w:color w:val="auto"/>
                <w:sz w:val="20"/>
                <w:szCs w:val="21"/>
                <w:highlight w:val="none"/>
              </w:rPr>
              <w:t>地点:</w:t>
            </w:r>
            <w:r>
              <w:rPr>
                <w:rFonts w:hint="eastAsia" w:ascii="宋体" w:hAnsi="宋体"/>
                <w:b/>
                <w:bCs/>
                <w:color w:val="auto"/>
                <w:sz w:val="20"/>
                <w:szCs w:val="21"/>
                <w:highlight w:val="none"/>
                <w:u w:val="single"/>
              </w:rPr>
              <w:t>建湖县公共资源交易中心一楼不见面开标厅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702" w:type="dxa"/>
            <w:noWrap w:val="0"/>
            <w:vAlign w:val="center"/>
          </w:tcPr>
          <w:p>
            <w:pPr>
              <w:spacing w:line="240" w:lineRule="exact"/>
              <w:jc w:val="center"/>
              <w:rPr>
                <w:rFonts w:ascii="宋体" w:hAnsi="宋体"/>
                <w:bCs/>
                <w:color w:val="auto"/>
                <w:sz w:val="24"/>
              </w:rPr>
            </w:pPr>
            <w:r>
              <w:rPr>
                <w:rFonts w:hint="eastAsia" w:ascii="宋体" w:hAnsi="宋体"/>
                <w:bCs/>
                <w:color w:val="auto"/>
                <w:sz w:val="20"/>
                <w:szCs w:val="21"/>
              </w:rPr>
              <w:t>投标文件</w:t>
            </w:r>
          </w:p>
        </w:tc>
        <w:tc>
          <w:tcPr>
            <w:tcW w:w="7511" w:type="dxa"/>
            <w:gridSpan w:val="3"/>
            <w:noWrap w:val="0"/>
            <w:vAlign w:val="center"/>
          </w:tcPr>
          <w:p>
            <w:pPr>
              <w:spacing w:line="400" w:lineRule="exact"/>
              <w:jc w:val="left"/>
              <w:rPr>
                <w:rFonts w:ascii="宋体" w:hAnsi="宋体"/>
                <w:b/>
                <w:bCs/>
                <w:color w:val="auto"/>
                <w:sz w:val="24"/>
              </w:rPr>
            </w:pPr>
            <w:r>
              <w:rPr>
                <w:rFonts w:hint="eastAsia" w:ascii="宋体" w:hAnsi="宋体" w:cs="Arial"/>
                <w:color w:val="auto"/>
                <w:sz w:val="20"/>
                <w:szCs w:val="21"/>
              </w:rPr>
              <w:t>电子投标文件一份</w:t>
            </w:r>
            <w:r>
              <w:rPr>
                <w:rFonts w:ascii="宋体" w:hAnsi="宋体" w:cs="Arial"/>
                <w:color w:val="auto"/>
                <w:sz w:val="20"/>
                <w:szCs w:val="21"/>
              </w:rPr>
              <w:t>(通过系统提交)</w:t>
            </w:r>
            <w:r>
              <w:rPr>
                <w:rFonts w:hint="eastAsia" w:ascii="宋体" w:hAnsi="宋体" w:cs="Arial"/>
                <w:color w:val="auto"/>
                <w:sz w:val="20"/>
                <w:szCs w:val="21"/>
              </w:rPr>
              <w:t>，</w:t>
            </w:r>
            <w:r>
              <w:rPr>
                <w:rFonts w:ascii="宋体" w:hAnsi="宋体" w:cs="Arial"/>
                <w:color w:val="auto"/>
                <w:sz w:val="20"/>
                <w:szCs w:val="21"/>
              </w:rPr>
              <w:t>纸质投标文件正本一份，副本一份（</w:t>
            </w:r>
            <w:r>
              <w:rPr>
                <w:rFonts w:hint="eastAsia" w:ascii="宋体" w:hAnsi="宋体" w:cs="Arial"/>
                <w:color w:val="auto"/>
                <w:sz w:val="20"/>
                <w:szCs w:val="21"/>
              </w:rPr>
              <w:t>中标公告</w:t>
            </w:r>
            <w:r>
              <w:rPr>
                <w:rFonts w:ascii="宋体" w:hAnsi="宋体" w:cs="Arial"/>
                <w:color w:val="auto"/>
                <w:sz w:val="20"/>
                <w:szCs w:val="21"/>
              </w:rPr>
              <w:t>后由中标候选人邮寄至</w:t>
            </w:r>
            <w:r>
              <w:rPr>
                <w:rFonts w:hint="eastAsia" w:ascii="宋体" w:hAnsi="宋体" w:cs="Arial"/>
                <w:color w:val="auto"/>
                <w:sz w:val="20"/>
                <w:szCs w:val="21"/>
                <w:lang w:eastAsia="zh-CN"/>
              </w:rPr>
              <w:t>江苏永悦工程项目管理有限公司</w:t>
            </w:r>
            <w:r>
              <w:rPr>
                <w:rFonts w:ascii="宋体" w:hAnsi="宋体" w:cs="Arial"/>
                <w:color w:val="auto"/>
                <w:sz w:val="20"/>
                <w:szCs w:val="21"/>
              </w:rPr>
              <w:t>，未中标单位不需要提供）。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702" w:type="dxa"/>
            <w:noWrap w:val="0"/>
            <w:vAlign w:val="center"/>
          </w:tcPr>
          <w:p>
            <w:pPr>
              <w:spacing w:line="240" w:lineRule="exact"/>
              <w:jc w:val="center"/>
              <w:rPr>
                <w:rFonts w:hint="eastAsia" w:ascii="宋体" w:hAnsi="宋体" w:eastAsia="宋体"/>
                <w:bCs/>
                <w:color w:val="auto"/>
                <w:sz w:val="20"/>
                <w:szCs w:val="21"/>
                <w:lang w:eastAsia="zh-CN"/>
              </w:rPr>
            </w:pPr>
            <w:r>
              <w:rPr>
                <w:rFonts w:hint="eastAsia" w:ascii="宋体" w:hAnsi="宋体"/>
                <w:bCs/>
                <w:color w:val="auto"/>
                <w:sz w:val="20"/>
                <w:szCs w:val="21"/>
                <w:lang w:eastAsia="zh-CN"/>
              </w:rPr>
              <w:t>最高限价</w:t>
            </w:r>
          </w:p>
        </w:tc>
        <w:tc>
          <w:tcPr>
            <w:tcW w:w="7511" w:type="dxa"/>
            <w:gridSpan w:val="3"/>
            <w:noWrap w:val="0"/>
            <w:vAlign w:val="center"/>
          </w:tcPr>
          <w:p>
            <w:pPr>
              <w:spacing w:line="240" w:lineRule="exact"/>
              <w:jc w:val="left"/>
              <w:rPr>
                <w:rFonts w:ascii="宋体" w:hAnsi="宋体"/>
                <w:bCs/>
                <w:color w:val="auto"/>
                <w:sz w:val="20"/>
                <w:szCs w:val="21"/>
              </w:rPr>
            </w:pPr>
            <w:r>
              <w:rPr>
                <w:rFonts w:hint="eastAsia" w:ascii="宋体" w:hAnsi="宋体"/>
                <w:bCs/>
                <w:color w:val="auto"/>
                <w:sz w:val="20"/>
                <w:szCs w:val="21"/>
                <w:lang w:val="en-US" w:eastAsia="zh-CN"/>
              </w:rPr>
              <w:t>本项目最高限价为85万，投标报价高于最高限价的作无效标论处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评标办法</w:t>
            </w:r>
          </w:p>
        </w:tc>
        <w:tc>
          <w:tcPr>
            <w:tcW w:w="7511" w:type="dxa"/>
            <w:gridSpan w:val="3"/>
            <w:noWrap w:val="0"/>
            <w:vAlign w:val="center"/>
          </w:tcPr>
          <w:p>
            <w:pPr>
              <w:spacing w:line="240" w:lineRule="exact"/>
              <w:jc w:val="left"/>
              <w:rPr>
                <w:rFonts w:ascii="宋体" w:hAnsi="宋体"/>
                <w:bCs/>
                <w:color w:val="auto"/>
                <w:sz w:val="20"/>
                <w:szCs w:val="21"/>
              </w:rPr>
            </w:pPr>
            <w:r>
              <w:rPr>
                <w:rFonts w:hint="eastAsia" w:ascii="宋体" w:hAnsi="宋体"/>
                <w:bCs/>
                <w:color w:val="auto"/>
                <w:sz w:val="20"/>
                <w:szCs w:val="21"/>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质疑</w:t>
            </w:r>
            <w:r>
              <w:rPr>
                <w:rFonts w:ascii="宋体" w:hAnsi="宋体"/>
                <w:bCs/>
                <w:color w:val="auto"/>
                <w:sz w:val="20"/>
                <w:szCs w:val="21"/>
              </w:rPr>
              <w:t>受理部门</w:t>
            </w:r>
          </w:p>
        </w:tc>
        <w:tc>
          <w:tcPr>
            <w:tcW w:w="7511" w:type="dxa"/>
            <w:gridSpan w:val="3"/>
            <w:noWrap w:val="0"/>
            <w:vAlign w:val="center"/>
          </w:tcPr>
          <w:p>
            <w:pPr>
              <w:spacing w:line="400" w:lineRule="exact"/>
              <w:jc w:val="left"/>
              <w:rPr>
                <w:rFonts w:hint="eastAsia" w:ascii="宋体" w:hAnsi="宋体" w:eastAsia="宋体" w:cs="Arial"/>
                <w:color w:val="auto"/>
                <w:sz w:val="20"/>
                <w:szCs w:val="21"/>
                <w:lang w:eastAsia="zh-CN"/>
              </w:rPr>
            </w:pPr>
            <w:r>
              <w:rPr>
                <w:rFonts w:hint="eastAsia" w:ascii="宋体" w:hAnsi="宋体" w:cs="Arial"/>
                <w:color w:val="auto"/>
                <w:sz w:val="20"/>
                <w:szCs w:val="21"/>
              </w:rPr>
              <w:t>联系部门：</w:t>
            </w:r>
            <w:r>
              <w:rPr>
                <w:rFonts w:hint="eastAsia" w:ascii="宋体" w:hAnsi="宋体" w:cs="宋体"/>
                <w:bCs/>
                <w:color w:val="auto"/>
                <w:sz w:val="20"/>
                <w:szCs w:val="21"/>
              </w:rPr>
              <w:t>建湖县公安局</w:t>
            </w:r>
            <w:r>
              <w:rPr>
                <w:rFonts w:hint="eastAsia" w:ascii="宋体" w:hAnsi="宋体" w:cs="Arial"/>
                <w:color w:val="auto"/>
                <w:sz w:val="20"/>
                <w:szCs w:val="21"/>
              </w:rPr>
              <w:t>/</w:t>
            </w:r>
            <w:r>
              <w:rPr>
                <w:rFonts w:hint="eastAsia" w:ascii="宋体" w:hAnsi="宋体" w:cs="Arial"/>
                <w:color w:val="auto"/>
                <w:sz w:val="20"/>
                <w:szCs w:val="21"/>
                <w:lang w:eastAsia="zh-CN"/>
              </w:rPr>
              <w:t>江苏永悦工程项目管理有限公司</w:t>
            </w:r>
          </w:p>
          <w:p>
            <w:pPr>
              <w:spacing w:line="400" w:lineRule="exact"/>
              <w:jc w:val="left"/>
              <w:rPr>
                <w:rFonts w:hint="eastAsia" w:ascii="宋体" w:hAnsi="宋体" w:eastAsia="宋体" w:cs="Arial"/>
                <w:color w:val="auto"/>
                <w:sz w:val="20"/>
                <w:szCs w:val="21"/>
                <w:lang w:eastAsia="zh-CN"/>
              </w:rPr>
            </w:pPr>
            <w:r>
              <w:rPr>
                <w:rFonts w:hint="eastAsia" w:ascii="宋体" w:hAnsi="宋体" w:cs="Arial"/>
                <w:color w:val="auto"/>
                <w:sz w:val="20"/>
                <w:szCs w:val="21"/>
              </w:rPr>
              <w:t>联</w:t>
            </w:r>
            <w:r>
              <w:rPr>
                <w:rFonts w:hint="eastAsia" w:ascii="宋体" w:hAnsi="宋体" w:cs="Arial"/>
                <w:color w:val="auto"/>
                <w:sz w:val="20"/>
                <w:szCs w:val="21"/>
                <w:highlight w:val="none"/>
              </w:rPr>
              <w:t>系电话：</w:t>
            </w:r>
            <w:r>
              <w:rPr>
                <w:rFonts w:hint="eastAsia" w:ascii="宋体" w:hAnsi="宋体" w:cs="Arial"/>
                <w:color w:val="auto"/>
                <w:sz w:val="20"/>
                <w:szCs w:val="21"/>
                <w:highlight w:val="none"/>
                <w:lang w:eastAsia="zh-CN"/>
              </w:rPr>
              <w:t>18205116199</w:t>
            </w:r>
            <w:r>
              <w:rPr>
                <w:rFonts w:hint="eastAsia" w:ascii="宋体" w:hAnsi="宋体" w:cs="Arial"/>
                <w:color w:val="auto"/>
                <w:sz w:val="20"/>
                <w:szCs w:val="21"/>
                <w:highlight w:val="none"/>
              </w:rPr>
              <w:t>/</w:t>
            </w:r>
            <w:r>
              <w:rPr>
                <w:rFonts w:hint="eastAsia" w:ascii="宋体" w:hAnsi="宋体" w:cs="Arial"/>
                <w:color w:val="auto"/>
                <w:sz w:val="20"/>
                <w:szCs w:val="21"/>
                <w:highlight w:val="none"/>
                <w:lang w:eastAsia="zh-CN"/>
              </w:rPr>
              <w:t>18068864080</w:t>
            </w:r>
          </w:p>
          <w:p>
            <w:pPr>
              <w:spacing w:line="400" w:lineRule="exact"/>
              <w:jc w:val="left"/>
              <w:rPr>
                <w:rFonts w:ascii="宋体" w:hAnsi="宋体"/>
                <w:bCs/>
                <w:color w:val="auto"/>
                <w:sz w:val="20"/>
                <w:szCs w:val="21"/>
              </w:rPr>
            </w:pPr>
            <w:r>
              <w:rPr>
                <w:rFonts w:hint="eastAsia" w:ascii="宋体" w:hAnsi="宋体" w:cs="Arial"/>
                <w:color w:val="auto"/>
                <w:sz w:val="20"/>
                <w:szCs w:val="21"/>
              </w:rPr>
              <w:t>通讯地址：建湖县公安路1号/建湖县双湖路</w:t>
            </w:r>
            <w:r>
              <w:rPr>
                <w:rFonts w:ascii="宋体" w:hAnsi="宋体" w:cs="Arial"/>
                <w:color w:val="auto"/>
                <w:sz w:val="20"/>
                <w:szCs w:val="21"/>
              </w:rPr>
              <w:t>建设大厦</w:t>
            </w:r>
            <w:r>
              <w:rPr>
                <w:rFonts w:hint="eastAsia" w:ascii="宋体" w:hAnsi="宋体" w:cs="Arial"/>
                <w:color w:val="auto"/>
                <w:sz w:val="20"/>
                <w:szCs w:val="21"/>
                <w:lang w:val="en-US" w:eastAsia="zh-CN"/>
              </w:rPr>
              <w:t>十三</w:t>
            </w:r>
            <w:r>
              <w:rPr>
                <w:rFonts w:hint="eastAsia" w:ascii="宋体" w:hAnsi="宋体" w:cs="Arial"/>
                <w:color w:val="auto"/>
                <w:sz w:val="20"/>
                <w:szCs w:val="21"/>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投诉</w:t>
            </w:r>
            <w:r>
              <w:rPr>
                <w:rFonts w:ascii="宋体" w:hAnsi="宋体"/>
                <w:bCs/>
                <w:color w:val="auto"/>
                <w:sz w:val="20"/>
                <w:szCs w:val="21"/>
              </w:rPr>
              <w:t>受理部门</w:t>
            </w:r>
          </w:p>
        </w:tc>
        <w:tc>
          <w:tcPr>
            <w:tcW w:w="7511" w:type="dxa"/>
            <w:gridSpan w:val="3"/>
            <w:noWrap w:val="0"/>
            <w:vAlign w:val="center"/>
          </w:tcPr>
          <w:p>
            <w:pPr>
              <w:spacing w:line="400" w:lineRule="exact"/>
              <w:jc w:val="left"/>
              <w:rPr>
                <w:rFonts w:ascii="宋体" w:hAnsi="宋体" w:cs="Arial"/>
                <w:color w:val="auto"/>
                <w:sz w:val="20"/>
                <w:szCs w:val="21"/>
              </w:rPr>
            </w:pPr>
            <w:r>
              <w:rPr>
                <w:rFonts w:hint="eastAsia" w:ascii="宋体" w:hAnsi="宋体" w:cs="Arial"/>
                <w:color w:val="auto"/>
                <w:sz w:val="20"/>
                <w:szCs w:val="21"/>
              </w:rPr>
              <w:t>联系部门：建湖县财政局</w:t>
            </w:r>
          </w:p>
          <w:p>
            <w:pPr>
              <w:spacing w:line="400" w:lineRule="exact"/>
              <w:jc w:val="left"/>
              <w:rPr>
                <w:rFonts w:ascii="宋体" w:hAnsi="宋体"/>
                <w:color w:val="auto"/>
                <w:sz w:val="20"/>
                <w:szCs w:val="21"/>
              </w:rPr>
            </w:pPr>
            <w:r>
              <w:rPr>
                <w:rFonts w:hint="eastAsia" w:ascii="宋体" w:hAnsi="宋体" w:cs="Arial"/>
                <w:color w:val="auto"/>
                <w:sz w:val="20"/>
                <w:szCs w:val="21"/>
              </w:rPr>
              <w:t>通讯</w:t>
            </w:r>
            <w:r>
              <w:rPr>
                <w:rFonts w:ascii="宋体" w:hAnsi="宋体" w:cs="Arial"/>
                <w:color w:val="auto"/>
                <w:sz w:val="20"/>
                <w:szCs w:val="21"/>
              </w:rPr>
              <w:t>地址：</w:t>
            </w:r>
            <w:r>
              <w:rPr>
                <w:rFonts w:hint="eastAsia" w:ascii="宋体" w:hAnsi="宋体" w:cs="Arial"/>
                <w:color w:val="auto"/>
                <w:sz w:val="20"/>
                <w:szCs w:val="21"/>
              </w:rPr>
              <w:t>建湖县</w:t>
            </w:r>
            <w:r>
              <w:rPr>
                <w:rFonts w:ascii="宋体" w:hAnsi="宋体" w:cs="Arial"/>
                <w:color w:val="auto"/>
                <w:sz w:val="20"/>
                <w:szCs w:val="21"/>
              </w:rPr>
              <w:t>双湖路建设大厦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1702" w:type="dxa"/>
            <w:noWrap w:val="0"/>
            <w:vAlign w:val="center"/>
          </w:tcPr>
          <w:p>
            <w:pPr>
              <w:spacing w:line="280" w:lineRule="exact"/>
              <w:jc w:val="center"/>
              <w:rPr>
                <w:rFonts w:ascii="宋体" w:hAnsi="宋体"/>
                <w:bCs/>
                <w:color w:val="auto"/>
                <w:sz w:val="20"/>
                <w:szCs w:val="21"/>
              </w:rPr>
            </w:pPr>
            <w:r>
              <w:rPr>
                <w:rFonts w:hint="eastAsia" w:ascii="宋体" w:hAnsi="宋体"/>
                <w:bCs/>
                <w:color w:val="auto"/>
                <w:sz w:val="20"/>
                <w:szCs w:val="21"/>
              </w:rPr>
              <w:t>其他要求</w:t>
            </w:r>
          </w:p>
        </w:tc>
        <w:tc>
          <w:tcPr>
            <w:tcW w:w="7511" w:type="dxa"/>
            <w:gridSpan w:val="3"/>
            <w:noWrap w:val="0"/>
            <w:vAlign w:val="center"/>
          </w:tcPr>
          <w:p>
            <w:pPr>
              <w:spacing w:line="320" w:lineRule="exact"/>
              <w:jc w:val="left"/>
              <w:rPr>
                <w:rFonts w:ascii="宋体" w:hAnsi="宋体" w:cs="宋体"/>
                <w:color w:val="auto"/>
                <w:spacing w:val="-2"/>
                <w:sz w:val="20"/>
                <w:szCs w:val="21"/>
              </w:rPr>
            </w:pPr>
            <w:r>
              <w:rPr>
                <w:rFonts w:hint="eastAsia" w:ascii="宋体" w:hAnsi="宋体" w:cs="宋体"/>
                <w:bCs/>
                <w:color w:val="auto"/>
                <w:sz w:val="20"/>
                <w:szCs w:val="21"/>
              </w:rPr>
              <w:t>投标人如在投标过程中提供虚假材料谋取中标成交的或采取不正当手段诋毁、排挤其他供应商的,列入不良行为记录名单。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702" w:type="dxa"/>
            <w:noWrap w:val="0"/>
            <w:vAlign w:val="center"/>
          </w:tcPr>
          <w:p>
            <w:pPr>
              <w:spacing w:line="240" w:lineRule="exact"/>
              <w:jc w:val="center"/>
              <w:rPr>
                <w:rFonts w:ascii="宋体" w:hAnsi="宋体"/>
                <w:bCs/>
                <w:color w:val="auto"/>
                <w:sz w:val="20"/>
                <w:szCs w:val="21"/>
              </w:rPr>
            </w:pPr>
            <w:r>
              <w:rPr>
                <w:rFonts w:hint="eastAsia" w:ascii="宋体" w:hAnsi="宋体"/>
                <w:bCs/>
                <w:color w:val="auto"/>
                <w:sz w:val="20"/>
                <w:szCs w:val="21"/>
              </w:rPr>
              <w:t>解释权</w:t>
            </w:r>
          </w:p>
        </w:tc>
        <w:tc>
          <w:tcPr>
            <w:tcW w:w="7511" w:type="dxa"/>
            <w:gridSpan w:val="3"/>
            <w:noWrap w:val="0"/>
            <w:vAlign w:val="center"/>
          </w:tcPr>
          <w:p>
            <w:pPr>
              <w:spacing w:line="400" w:lineRule="exact"/>
              <w:jc w:val="left"/>
              <w:rPr>
                <w:rFonts w:ascii="宋体" w:hAnsi="宋体"/>
                <w:bCs/>
                <w:color w:val="auto"/>
                <w:sz w:val="20"/>
                <w:szCs w:val="21"/>
              </w:rPr>
            </w:pPr>
            <w:r>
              <w:rPr>
                <w:rFonts w:hint="eastAsia" w:ascii="宋体" w:hAnsi="宋体"/>
                <w:bCs/>
                <w:color w:val="auto"/>
                <w:sz w:val="20"/>
                <w:szCs w:val="21"/>
              </w:rPr>
              <w:t>本采购文件的最终解释权归采购单位所有。</w:t>
            </w:r>
          </w:p>
        </w:tc>
      </w:tr>
    </w:tbl>
    <w:p>
      <w:pPr>
        <w:spacing w:before="156" w:after="156" w:line="400" w:lineRule="exact"/>
        <w:jc w:val="center"/>
        <w:outlineLvl w:val="1"/>
        <w:rPr>
          <w:rFonts w:ascii="宋体" w:hAnsi="宋体"/>
          <w:b/>
          <w:color w:val="auto"/>
          <w:sz w:val="24"/>
          <w:szCs w:val="24"/>
        </w:rPr>
      </w:pPr>
      <w:bookmarkStart w:id="11" w:name="_Toc130206642"/>
      <w:r>
        <w:rPr>
          <w:rFonts w:hint="eastAsia" w:ascii="宋体" w:hAnsi="宋体"/>
          <w:b/>
          <w:color w:val="auto"/>
          <w:sz w:val="24"/>
          <w:szCs w:val="24"/>
        </w:rPr>
        <w:t>二、总  则</w:t>
      </w:r>
      <w:bookmarkEnd w:id="11"/>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1.适用范围</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1.1本次项目仅适用于招标文件中所叙述项目的货物采购。</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2.定义</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2.1“采购人”、“采购单位”系指本次采购项目的业主方；</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2.2“采购代理机构”系指本次招标采购项目活动组织方；</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2.3“投标人”系指获取了本招标文件，且已经提交或者准备提交本次投标文件的制造商或供货商；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2.4“投标文件有效期”系指本次采购项目投标截止之日起至合同签订之日止的期限；</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2.5不可抗力：不可预见、不能避免并且不能克服的客观情况。</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3.申请人的资格要求：详见采购公告。</w:t>
      </w:r>
    </w:p>
    <w:p>
      <w:pPr>
        <w:spacing w:before="156" w:after="156" w:line="400" w:lineRule="exact"/>
        <w:ind w:left="238"/>
        <w:jc w:val="center"/>
        <w:outlineLvl w:val="1"/>
        <w:rPr>
          <w:rFonts w:ascii="宋体" w:hAnsi="宋体"/>
          <w:b/>
          <w:color w:val="auto"/>
          <w:sz w:val="24"/>
          <w:szCs w:val="24"/>
        </w:rPr>
      </w:pPr>
      <w:bookmarkStart w:id="12" w:name="_Toc130206643"/>
      <w:r>
        <w:rPr>
          <w:rFonts w:hint="eastAsia" w:ascii="宋体" w:hAnsi="宋体"/>
          <w:b/>
          <w:color w:val="auto"/>
          <w:sz w:val="24"/>
          <w:szCs w:val="24"/>
        </w:rPr>
        <w:t>三、招标文件</w:t>
      </w:r>
      <w:bookmarkEnd w:id="12"/>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4.招标文件的构成</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4.1招标文件用以阐明招标项目所需的资质、技术、服务及报价等要求、招标投标程序、有关规定和注意事项以及合同主要条款等。本招标文件包括以下内容：</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4.1.1 招标公告；</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4.1.2 投标人须知；</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4.1.3 招标内容及要求；</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4.1.4 评标办法及评分标准；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4.1.5 合同主要条款；</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4.1.6 投标文件格式。</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4.2 投标人应认真阅读和充分理解招标文件中所有的事项、格式条款和规范要求。投标人领取招标文件并参加投标即视同认可招标文件内所有内容。投标人没有对招标文件全面做出实质性响应是投标人的风险。没有按照招标文件要求作出实质性响应的投标文件将被拒绝。</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5.招标文件的澄清、修改及补充</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5.1投标人在收到招标文件后，如有疑问需要澄清，应以规定的时间和方式（</w:t>
      </w:r>
      <w:r>
        <w:rPr>
          <w:rFonts w:hint="eastAsia" w:ascii="宋体" w:hAnsi="宋体" w:cs="Arial"/>
          <w:bCs/>
          <w:color w:val="auto"/>
          <w:sz w:val="24"/>
          <w:szCs w:val="24"/>
          <w:u w:val="single"/>
        </w:rPr>
        <w:t>202</w:t>
      </w:r>
      <w:r>
        <w:rPr>
          <w:rFonts w:ascii="宋体" w:hAnsi="宋体" w:cs="Arial"/>
          <w:bCs/>
          <w:color w:val="auto"/>
          <w:sz w:val="24"/>
          <w:szCs w:val="24"/>
          <w:u w:val="single"/>
        </w:rPr>
        <w:t>3</w:t>
      </w:r>
      <w:r>
        <w:rPr>
          <w:rFonts w:hint="eastAsia" w:ascii="宋体" w:hAnsi="宋体" w:cs="Arial"/>
          <w:bCs/>
          <w:color w:val="auto"/>
          <w:sz w:val="24"/>
          <w:szCs w:val="24"/>
          <w:u w:val="single"/>
        </w:rPr>
        <w:t>年</w:t>
      </w:r>
      <w:r>
        <w:rPr>
          <w:rFonts w:hint="eastAsia" w:ascii="宋体" w:hAnsi="宋体" w:cs="Arial"/>
          <w:bCs/>
          <w:color w:val="auto"/>
          <w:sz w:val="24"/>
          <w:szCs w:val="24"/>
          <w:highlight w:val="none"/>
          <w:u w:val="single"/>
          <w:lang w:val="en-US" w:eastAsia="zh-CN"/>
        </w:rPr>
        <w:t>09</w:t>
      </w:r>
      <w:r>
        <w:rPr>
          <w:rFonts w:hint="eastAsia" w:ascii="宋体" w:hAnsi="宋体" w:cs="Arial"/>
          <w:bCs/>
          <w:color w:val="auto"/>
          <w:sz w:val="24"/>
          <w:szCs w:val="24"/>
          <w:highlight w:val="none"/>
          <w:u w:val="single"/>
        </w:rPr>
        <w:t>月</w:t>
      </w:r>
      <w:r>
        <w:rPr>
          <w:rFonts w:hint="eastAsia" w:ascii="宋体" w:hAnsi="宋体" w:cs="Arial"/>
          <w:bCs/>
          <w:color w:val="auto"/>
          <w:sz w:val="24"/>
          <w:szCs w:val="24"/>
          <w:highlight w:val="none"/>
          <w:u w:val="single"/>
          <w:lang w:val="en-US" w:eastAsia="zh-CN"/>
        </w:rPr>
        <w:t>14</w:t>
      </w:r>
      <w:r>
        <w:rPr>
          <w:rFonts w:hint="eastAsia" w:ascii="宋体" w:hAnsi="宋体" w:cs="Arial"/>
          <w:bCs/>
          <w:color w:val="auto"/>
          <w:sz w:val="24"/>
          <w:szCs w:val="24"/>
          <w:highlight w:val="none"/>
          <w:u w:val="single"/>
        </w:rPr>
        <w:t>日1</w:t>
      </w:r>
      <w:r>
        <w:rPr>
          <w:rFonts w:hint="eastAsia" w:ascii="宋体" w:hAnsi="宋体" w:cs="Arial"/>
          <w:bCs/>
          <w:color w:val="auto"/>
          <w:sz w:val="24"/>
          <w:szCs w:val="24"/>
          <w:u w:val="single"/>
        </w:rPr>
        <w:t>7:00前</w:t>
      </w:r>
      <w:r>
        <w:rPr>
          <w:rFonts w:hint="eastAsia" w:ascii="宋体" w:hAnsi="宋体" w:cs="Arial"/>
          <w:bCs/>
          <w:color w:val="auto"/>
          <w:sz w:val="24"/>
          <w:szCs w:val="24"/>
        </w:rPr>
        <w:t>）向采购人或代理机构提出，如在规定期限内未递交疑问或未按规定提交投标疑问的，则视为该投标人无疑问；</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5.2 在投标截止日期前，采购单位</w:t>
      </w:r>
      <w:r>
        <w:rPr>
          <w:rFonts w:hint="eastAsia" w:ascii="宋体" w:hAnsi="宋体" w:cs="Arial"/>
          <w:bCs/>
          <w:color w:val="auto"/>
          <w:sz w:val="24"/>
          <w:szCs w:val="24"/>
        </w:rPr>
        <w:t>对招标文件进行澄清或者修改的，通过“苏采云”系统及盐城市政府采购网等相关网站发布澄清公告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5.3标书以外的内容，一律拒绝答复；</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5.4投标人对采购人提供的采购文件所做出的推论、解释和结论，采购人概不负责。投标人由于对招标文件的任何推论和误解以及采购人对有关问题的口头解释所造成的后果，均由投标人自负；</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5.5本采购文件的最终解释权归采购单位所有。</w:t>
      </w:r>
    </w:p>
    <w:p>
      <w:pPr>
        <w:spacing w:before="156" w:after="156" w:line="400" w:lineRule="exact"/>
        <w:ind w:left="238"/>
        <w:jc w:val="center"/>
        <w:outlineLvl w:val="1"/>
        <w:rPr>
          <w:rFonts w:ascii="宋体" w:hAnsi="宋体"/>
          <w:b/>
          <w:color w:val="auto"/>
          <w:sz w:val="24"/>
          <w:szCs w:val="24"/>
        </w:rPr>
      </w:pPr>
      <w:bookmarkStart w:id="13" w:name="_Toc130206644"/>
      <w:r>
        <w:rPr>
          <w:rFonts w:hint="eastAsia" w:ascii="宋体" w:hAnsi="宋体"/>
          <w:b/>
          <w:color w:val="auto"/>
          <w:sz w:val="24"/>
          <w:szCs w:val="24"/>
        </w:rPr>
        <w:t>四、投标文件</w:t>
      </w:r>
      <w:bookmarkEnd w:id="13"/>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6.投标文件的编制</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6.1 要求</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6.1.1 投标人应仔细阅读招标文件的所有内容，按招标文件的要求提供投标文件，并保证所提供的全部资料的真实性，以使其投标对招标文件作出实质性响应，否则，其投标可能被拒绝；</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6.1.2 无论投标过程中的做法和结果如何，投标人自行承担所有与参加投标有关的全部费用。</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 xml:space="preserve">6.2 投标语言及计量单位  </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6.2.1 投标文件以及投标人与采购单位就有关投标事宜的所有来往函电均应使用简体中文书写；</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6.2.2 关于投标计量单位，招标文件已有明确规定的，使用招标文件规定的计量单位；招标文件没有规定的，应采用中华人民共和国法定计量单位；</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6.2.3 原版为外文的证书类文件，但应当提供中文翻译文件并加盖投标单位公章。必要时评标委员会可以要求投标人提供附有公证书的中文翻译文件或者与原版文件签章相一致的中文翻译文件，否则，投标人的投标文件将作无效投标处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6.2.4 翻译的中文文件与外文文件如果出现差异和矛盾时，以中文为准。但不能故意错误翻译，否则，投标人的投标文件将作为无效投标处理。</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6.3电子投标文件其他要求</w:t>
      </w:r>
    </w:p>
    <w:p>
      <w:pPr>
        <w:widowControl/>
        <w:spacing w:line="480" w:lineRule="exact"/>
        <w:ind w:firstLine="464"/>
        <w:jc w:val="left"/>
        <w:rPr>
          <w:rFonts w:ascii="宋体" w:hAnsi="宋体" w:cs="Arial"/>
          <w:bCs/>
          <w:color w:val="auto"/>
          <w:sz w:val="24"/>
          <w:szCs w:val="24"/>
        </w:rPr>
      </w:pPr>
      <w:r>
        <w:rPr>
          <w:rFonts w:hint="eastAsia" w:ascii="宋体" w:hAnsi="宋体" w:cs="Arial"/>
          <w:bCs/>
          <w:color w:val="auto"/>
          <w:spacing w:val="-4"/>
          <w:sz w:val="24"/>
          <w:szCs w:val="24"/>
        </w:rPr>
        <w:t>6</w:t>
      </w:r>
      <w:r>
        <w:rPr>
          <w:rFonts w:ascii="宋体" w:hAnsi="宋体" w:cs="Arial"/>
          <w:bCs/>
          <w:color w:val="auto"/>
          <w:spacing w:val="-4"/>
          <w:sz w:val="24"/>
          <w:szCs w:val="24"/>
        </w:rPr>
        <w:t>.3.1电子招标投标交易平台（即“苏采云”系统）相关要求是本招标文件的组成部分</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6.3.2投标人应对CA证书妥善保管，如被他人盗用投标，因此带来的结果均由投标人自行承担</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w:t>
      </w:r>
      <w:r>
        <w:rPr>
          <w:rFonts w:ascii="宋体" w:hAnsi="宋体" w:cs="Arial"/>
          <w:bCs/>
          <w:color w:val="auto"/>
          <w:sz w:val="24"/>
          <w:szCs w:val="24"/>
        </w:rPr>
        <w:t>.3.3投标人应当对招标文件提出的实质性要求和条件作出实质性响应，并在电子投标系统逐条应答</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w:t>
      </w:r>
      <w:r>
        <w:rPr>
          <w:rFonts w:ascii="宋体" w:hAnsi="宋体" w:cs="Arial"/>
          <w:bCs/>
          <w:color w:val="auto"/>
          <w:sz w:val="24"/>
          <w:szCs w:val="24"/>
        </w:rPr>
        <w:t>.3.4投标人应对要求提供的资格证明文件（如资质证书、资格证书）、技术资料（如白皮书、彩页、手册、检测报告等）扫描上传至投标系统</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6.4投标人应当在招标文件要求提交投标文件的截止时间前，将投标文件提交至“苏采云”系统，逾期提交的投标文件，“苏采云”系统将自动拒收。各投标人应在规定时间内凭CA证书进行网上解密。</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6.5投标人在投标截止时间前，可以对所递交的投标文件进行补充、修改或者撤回，并书面通知采购人或者采购代理机构。补充、修改的内容应当按照招标文件要求签署、盖章、密封后，作为投标文件的组成部分</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7.为贯彻落实苏财购[2020]52号文件精神，该项目投标人可免交投标保证金。</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8.投标报价</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8.1 投标方应在招标文件所附的投标报价表上写明投标货物的单价和投标总价，如单价与总价有出入，以单价为准。投标方对每种货物只允许有一个报价，招标方不接受有任何选择的报价。除合同另有约定，投标人投标报价表上所标明的价格均为履约的固定价格，不得以任何理由予以变更。</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8.2</w:t>
      </w:r>
      <w:r>
        <w:rPr>
          <w:rFonts w:hint="eastAsia" w:ascii="宋体" w:hAnsi="宋体" w:cs="Arial"/>
          <w:b/>
          <w:bCs w:val="0"/>
          <w:color w:val="auto"/>
          <w:sz w:val="24"/>
          <w:szCs w:val="24"/>
          <w:lang w:val="en-US" w:eastAsia="zh-CN"/>
        </w:rPr>
        <w:t>本项目最高限价为85万，投标报价高于最高限价的作无效标论处</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8.3 投标报价</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8.3.1</w:t>
      </w:r>
      <w:r>
        <w:rPr>
          <w:rFonts w:hint="eastAsia" w:ascii="宋体" w:hAnsi="宋体" w:cs="宋体"/>
          <w:color w:val="auto"/>
          <w:sz w:val="24"/>
        </w:rPr>
        <w:t>报价应包含以下内容：投标报价应是招标范围内全部工作内容的价格体现，包括全部产品采购、安装、调试、检验及售后服务等内容的价格，以及为完成上述内容所必须的人工费、材料费、不可预见的费用、管理费、招标代理费、利润、税金和文件规定的其他各项应有的全部费用（综合报价）。对投标人认为没有考虑到的费用项目采购人将不予支付，并认为此项费用已包含在投标报价中。</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8.3.2 投标承诺书、投标价格表的报价一律用人民币（单位：元）填报。</w:t>
      </w:r>
    </w:p>
    <w:p>
      <w:pPr>
        <w:spacing w:line="480" w:lineRule="exact"/>
        <w:ind w:left="2" w:firstLine="475"/>
        <w:rPr>
          <w:rFonts w:ascii="宋体" w:hAnsi="宋体"/>
          <w:color w:val="auto"/>
          <w:sz w:val="24"/>
          <w:szCs w:val="24"/>
        </w:rPr>
      </w:pPr>
      <w:r>
        <w:rPr>
          <w:rFonts w:hint="eastAsia" w:ascii="宋体" w:hAnsi="宋体"/>
          <w:color w:val="auto"/>
          <w:sz w:val="24"/>
          <w:szCs w:val="24"/>
        </w:rPr>
        <w:t xml:space="preserve">8.4 </w:t>
      </w:r>
      <w:r>
        <w:rPr>
          <w:rFonts w:hint="eastAsia" w:ascii="宋体" w:hAnsi="宋体"/>
          <w:color w:val="auto"/>
          <w:sz w:val="24"/>
          <w:szCs w:val="24"/>
          <w:highlight w:val="none"/>
        </w:rPr>
        <w:t>招标代理服务费：经研究决定，如中标人响应成交，领取中标通知书并签订合同后向采购代理机构交纳招标代理服务费，本项目招标代理服务费按照中标金额的</w:t>
      </w:r>
      <w:r>
        <w:rPr>
          <w:rFonts w:hint="eastAsia" w:ascii="宋体" w:hAnsi="宋体"/>
          <w:color w:val="auto"/>
          <w:sz w:val="24"/>
          <w:szCs w:val="24"/>
          <w:highlight w:val="none"/>
          <w:lang w:val="en-US" w:eastAsia="zh-CN"/>
        </w:rPr>
        <w:t>1</w:t>
      </w:r>
      <w:r>
        <w:rPr>
          <w:rFonts w:ascii="宋体" w:hAnsi="宋体"/>
          <w:color w:val="auto"/>
          <w:sz w:val="24"/>
          <w:szCs w:val="24"/>
          <w:highlight w:val="none"/>
        </w:rPr>
        <w:t>%</w:t>
      </w:r>
      <w:r>
        <w:rPr>
          <w:rFonts w:hint="eastAsia" w:ascii="宋体" w:hAnsi="宋体"/>
          <w:color w:val="auto"/>
          <w:sz w:val="24"/>
          <w:szCs w:val="24"/>
          <w:highlight w:val="none"/>
        </w:rPr>
        <w:t>收</w:t>
      </w:r>
      <w:r>
        <w:rPr>
          <w:rFonts w:hint="eastAsia" w:ascii="宋体" w:hAnsi="宋体"/>
          <w:color w:val="auto"/>
          <w:sz w:val="24"/>
          <w:szCs w:val="24"/>
        </w:rPr>
        <w:t>取，此项费用含在投标报价中，不单独列项，由投标单位在报价时综合考虑。</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8.5 投标人在投标文件中应按照本招标文件所附的投标报价单样式进行报价，并计算总价。报价表必须由法定代表人或委托代理人签署。</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9</w:t>
      </w:r>
      <w:r>
        <w:rPr>
          <w:rFonts w:hint="eastAsia" w:ascii="宋体" w:hAnsi="宋体" w:cs="Arial"/>
          <w:bCs/>
          <w:color w:val="auto"/>
          <w:sz w:val="24"/>
          <w:szCs w:val="24"/>
        </w:rPr>
        <w:t>.线上投标文件编制要求，请按照以下要求（包括但不限于以下要求）制作：</w:t>
      </w:r>
    </w:p>
    <w:p>
      <w:pPr>
        <w:widowControl/>
        <w:spacing w:line="480" w:lineRule="exact"/>
        <w:ind w:firstLine="482"/>
        <w:jc w:val="left"/>
        <w:rPr>
          <w:rFonts w:ascii="宋体" w:hAnsi="宋体" w:cs="Arial"/>
          <w:b/>
          <w:bCs/>
          <w:color w:val="auto"/>
          <w:sz w:val="24"/>
          <w:szCs w:val="24"/>
        </w:rPr>
      </w:pPr>
      <w:r>
        <w:rPr>
          <w:rFonts w:hint="eastAsia" w:ascii="宋体" w:hAnsi="宋体" w:cs="Arial"/>
          <w:b/>
          <w:bCs/>
          <w:color w:val="auto"/>
          <w:sz w:val="24"/>
          <w:szCs w:val="24"/>
        </w:rPr>
        <w:t>9</w:t>
      </w:r>
      <w:r>
        <w:rPr>
          <w:rFonts w:ascii="宋体" w:hAnsi="宋体" w:cs="Arial"/>
          <w:b/>
          <w:bCs/>
          <w:color w:val="auto"/>
          <w:sz w:val="24"/>
          <w:szCs w:val="24"/>
        </w:rPr>
        <w:t>.1</w:t>
      </w:r>
      <w:r>
        <w:rPr>
          <w:rFonts w:hint="eastAsia" w:ascii="宋体" w:hAnsi="宋体" w:cs="Arial"/>
          <w:b/>
          <w:bCs/>
          <w:color w:val="auto"/>
          <w:sz w:val="24"/>
          <w:szCs w:val="24"/>
        </w:rPr>
        <w:t>基本目录</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9</w:t>
      </w:r>
      <w:r>
        <w:rPr>
          <w:rFonts w:ascii="宋体" w:hAnsi="宋体" w:cs="Arial"/>
          <w:bCs/>
          <w:color w:val="auto"/>
          <w:sz w:val="24"/>
          <w:szCs w:val="24"/>
        </w:rPr>
        <w:t>.1.</w:t>
      </w:r>
      <w:r>
        <w:rPr>
          <w:rFonts w:hint="eastAsia" w:ascii="宋体" w:hAnsi="宋体" w:cs="Arial"/>
          <w:bCs/>
          <w:color w:val="auto"/>
          <w:sz w:val="24"/>
          <w:szCs w:val="24"/>
        </w:rPr>
        <w:t>1《开标一览表》（加盖电子签章，政府采购客户端工具输入报价自动生成）；</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9</w:t>
      </w:r>
      <w:r>
        <w:rPr>
          <w:rFonts w:ascii="宋体" w:hAnsi="宋体" w:cs="Arial"/>
          <w:bCs/>
          <w:color w:val="auto"/>
          <w:sz w:val="24"/>
          <w:szCs w:val="24"/>
        </w:rPr>
        <w:t>.1.</w:t>
      </w:r>
      <w:r>
        <w:rPr>
          <w:rFonts w:hint="eastAsia" w:ascii="宋体" w:hAnsi="宋体" w:cs="Arial"/>
          <w:bCs/>
          <w:color w:val="auto"/>
          <w:sz w:val="24"/>
          <w:szCs w:val="24"/>
        </w:rPr>
        <w:t>2《</w:t>
      </w:r>
      <w:r>
        <w:rPr>
          <w:rFonts w:ascii="宋体" w:hAnsi="宋体" w:cs="Arial"/>
          <w:bCs/>
          <w:color w:val="auto"/>
          <w:sz w:val="24"/>
          <w:szCs w:val="24"/>
        </w:rPr>
        <w:t>法定代表人身份证明书</w:t>
      </w:r>
      <w:r>
        <w:rPr>
          <w:rFonts w:hint="eastAsia" w:ascii="宋体" w:hAnsi="宋体" w:cs="Arial"/>
          <w:bCs/>
          <w:color w:val="auto"/>
          <w:sz w:val="24"/>
          <w:szCs w:val="24"/>
        </w:rPr>
        <w:t>》及《授权委托书》（加盖电子签章，格式见招标文件第六章《投标文件相关格式》）。</w:t>
      </w:r>
    </w:p>
    <w:p>
      <w:pPr>
        <w:widowControl/>
        <w:spacing w:line="480" w:lineRule="exact"/>
        <w:ind w:firstLine="482"/>
        <w:jc w:val="left"/>
        <w:rPr>
          <w:rFonts w:ascii="宋体" w:hAnsi="宋体" w:cs="Arial"/>
          <w:b/>
          <w:bCs/>
          <w:color w:val="auto"/>
          <w:sz w:val="24"/>
          <w:szCs w:val="24"/>
        </w:rPr>
      </w:pPr>
      <w:r>
        <w:rPr>
          <w:rFonts w:hint="eastAsia" w:ascii="宋体" w:hAnsi="宋体" w:cs="Arial"/>
          <w:b/>
          <w:bCs/>
          <w:color w:val="auto"/>
          <w:sz w:val="24"/>
          <w:szCs w:val="24"/>
        </w:rPr>
        <w:t>9</w:t>
      </w:r>
      <w:r>
        <w:rPr>
          <w:rFonts w:ascii="宋体" w:hAnsi="宋体" w:cs="Arial"/>
          <w:b/>
          <w:bCs/>
          <w:color w:val="auto"/>
          <w:sz w:val="24"/>
          <w:szCs w:val="24"/>
        </w:rPr>
        <w:t>.2</w:t>
      </w:r>
      <w:r>
        <w:rPr>
          <w:rFonts w:hint="eastAsia" w:ascii="宋体" w:hAnsi="宋体" w:cs="Arial"/>
          <w:b/>
          <w:bCs/>
          <w:color w:val="auto"/>
          <w:sz w:val="24"/>
          <w:szCs w:val="24"/>
        </w:rPr>
        <w:t>资格条件</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（1）有效的营业执照（副本）；</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（2）投标人近半年内的财务报表或者上年度企业财务审计报告（财务报表须提供不少于三个月的）（成立不满一年不需提供）；</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（3）投标人经税务部门认可的近半年内依法缴纳税收的证明（不少于三个月的）（成立不满一年不需提供）</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（4）具有履行合同所需的设备和专业技术能力的书面声明</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w:t>
      </w:r>
      <w:r>
        <w:rPr>
          <w:rFonts w:ascii="宋体" w:hAnsi="宋体" w:cs="Arial"/>
          <w:bCs/>
          <w:color w:val="auto"/>
          <w:sz w:val="24"/>
          <w:szCs w:val="24"/>
        </w:rPr>
        <w:t>5</w:t>
      </w:r>
      <w:r>
        <w:rPr>
          <w:rFonts w:hint="eastAsia" w:ascii="宋体" w:hAnsi="宋体" w:cs="Arial"/>
          <w:bCs/>
          <w:color w:val="auto"/>
          <w:sz w:val="24"/>
          <w:szCs w:val="24"/>
        </w:rPr>
        <w:t>）近三年</w:t>
      </w:r>
      <w:r>
        <w:rPr>
          <w:rFonts w:ascii="宋体" w:hAnsi="宋体" w:cs="Arial"/>
          <w:bCs/>
          <w:color w:val="auto"/>
          <w:sz w:val="24"/>
          <w:szCs w:val="24"/>
        </w:rPr>
        <w:t>无重大违法记录声明函</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上述（1）-（</w:t>
      </w:r>
      <w:r>
        <w:rPr>
          <w:rFonts w:ascii="宋体" w:hAnsi="宋体" w:cs="Arial"/>
          <w:bCs/>
          <w:color w:val="auto"/>
          <w:sz w:val="24"/>
          <w:szCs w:val="24"/>
        </w:rPr>
        <w:t>5</w:t>
      </w:r>
      <w:r>
        <w:rPr>
          <w:rFonts w:hint="eastAsia" w:ascii="宋体" w:hAnsi="宋体" w:cs="Arial"/>
          <w:bCs/>
          <w:color w:val="auto"/>
          <w:sz w:val="24"/>
          <w:szCs w:val="24"/>
        </w:rPr>
        <w:t>）必须提供，且须加盖电子签章，否则投标无效。</w:t>
      </w:r>
    </w:p>
    <w:p>
      <w:pPr>
        <w:widowControl/>
        <w:spacing w:line="480" w:lineRule="exact"/>
        <w:ind w:firstLine="482"/>
        <w:jc w:val="left"/>
        <w:rPr>
          <w:rFonts w:ascii="宋体" w:hAnsi="宋体" w:cs="Arial"/>
          <w:bCs/>
          <w:color w:val="auto"/>
          <w:sz w:val="24"/>
          <w:szCs w:val="24"/>
        </w:rPr>
      </w:pPr>
      <w:r>
        <w:rPr>
          <w:rFonts w:hint="eastAsia" w:ascii="宋体" w:hAnsi="宋体" w:cs="Arial"/>
          <w:b/>
          <w:bCs/>
          <w:color w:val="auto"/>
          <w:sz w:val="24"/>
          <w:szCs w:val="24"/>
        </w:rPr>
        <w:t>9</w:t>
      </w:r>
      <w:r>
        <w:rPr>
          <w:rFonts w:ascii="宋体" w:hAnsi="宋体" w:cs="Arial"/>
          <w:b/>
          <w:bCs/>
          <w:color w:val="auto"/>
          <w:sz w:val="24"/>
          <w:szCs w:val="24"/>
        </w:rPr>
        <w:t>.3</w:t>
      </w:r>
      <w:r>
        <w:rPr>
          <w:rFonts w:hint="eastAsia" w:ascii="宋体" w:hAnsi="宋体" w:cs="Arial"/>
          <w:b/>
          <w:bCs/>
          <w:color w:val="auto"/>
          <w:sz w:val="24"/>
          <w:szCs w:val="24"/>
        </w:rPr>
        <w:t>符合条件</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（1）报价：</w:t>
      </w:r>
      <w:r>
        <w:rPr>
          <w:rFonts w:hint="eastAsia" w:ascii="宋体" w:hAnsi="宋体" w:cs="Arial"/>
          <w:bCs/>
          <w:color w:val="auto"/>
          <w:sz w:val="24"/>
          <w:szCs w:val="24"/>
          <w:u w:val="single"/>
        </w:rPr>
        <w:t>①《投标函》；②清单报价表</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u w:val="single"/>
        </w:rPr>
      </w:pPr>
      <w:r>
        <w:rPr>
          <w:rFonts w:hint="eastAsia" w:ascii="宋体" w:hAnsi="宋体" w:cs="Arial"/>
          <w:bCs/>
          <w:color w:val="auto"/>
          <w:sz w:val="24"/>
          <w:szCs w:val="24"/>
        </w:rPr>
        <w:t>（2）商务资信：</w:t>
      </w:r>
      <w:r>
        <w:rPr>
          <w:rFonts w:ascii="宋体" w:hAnsi="宋体" w:cs="Arial"/>
          <w:bCs/>
          <w:color w:val="auto"/>
          <w:sz w:val="24"/>
          <w:szCs w:val="24"/>
          <w:u w:val="single"/>
        </w:rPr>
        <w:t>①供应商登记表</w:t>
      </w:r>
      <w:r>
        <w:rPr>
          <w:rFonts w:hint="eastAsia" w:ascii="宋体" w:hAnsi="宋体" w:cs="Arial"/>
          <w:bCs/>
          <w:color w:val="auto"/>
          <w:sz w:val="24"/>
          <w:szCs w:val="24"/>
          <w:u w:val="single"/>
        </w:rPr>
        <w:t>；②服务承诺函；③</w:t>
      </w:r>
      <w:r>
        <w:rPr>
          <w:rFonts w:ascii="宋体" w:hAnsi="宋体" w:cs="Arial"/>
          <w:bCs/>
          <w:color w:val="auto"/>
          <w:sz w:val="24"/>
          <w:szCs w:val="24"/>
          <w:u w:val="single"/>
        </w:rPr>
        <w:t>公共资源交易投标信用承诺书</w:t>
      </w:r>
      <w:r>
        <w:rPr>
          <w:rFonts w:hint="eastAsia" w:ascii="宋体" w:hAnsi="宋体" w:cs="Arial"/>
          <w:bCs/>
          <w:color w:val="auto"/>
          <w:sz w:val="24"/>
          <w:szCs w:val="24"/>
          <w:u w:val="single"/>
        </w:rPr>
        <w:t>；④</w:t>
      </w:r>
      <w:r>
        <w:rPr>
          <w:rFonts w:ascii="宋体" w:hAnsi="宋体" w:cs="Arial"/>
          <w:bCs/>
          <w:color w:val="auto"/>
          <w:sz w:val="24"/>
          <w:szCs w:val="24"/>
          <w:u w:val="single"/>
        </w:rPr>
        <w:t>建湖县政府采购事前信用承诺书</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（3）技术响应：</w:t>
      </w:r>
      <w:r>
        <w:rPr>
          <w:rFonts w:hint="eastAsia" w:ascii="宋体" w:hAnsi="宋体" w:cs="Arial"/>
          <w:bCs/>
          <w:color w:val="auto"/>
          <w:sz w:val="24"/>
          <w:szCs w:val="24"/>
          <w:u w:val="single"/>
        </w:rPr>
        <w:t>《技术参数响应表》</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上述（1）-（</w:t>
      </w:r>
      <w:r>
        <w:rPr>
          <w:rFonts w:ascii="宋体" w:hAnsi="宋体" w:cs="Arial"/>
          <w:bCs/>
          <w:color w:val="auto"/>
          <w:sz w:val="24"/>
          <w:szCs w:val="24"/>
        </w:rPr>
        <w:t>3</w:t>
      </w:r>
      <w:r>
        <w:rPr>
          <w:rFonts w:hint="eastAsia" w:ascii="宋体" w:hAnsi="宋体" w:cs="Arial"/>
          <w:bCs/>
          <w:color w:val="auto"/>
          <w:sz w:val="24"/>
          <w:szCs w:val="24"/>
        </w:rPr>
        <w:t>）符合条件要求内容必须提供，且须加盖电子签章，格式见招标文件第六章《投标文件相关格式》，否则投标无效。</w:t>
      </w:r>
    </w:p>
    <w:p>
      <w:pPr>
        <w:widowControl/>
        <w:spacing w:line="480" w:lineRule="exact"/>
        <w:ind w:firstLine="482"/>
        <w:jc w:val="left"/>
        <w:rPr>
          <w:rFonts w:ascii="宋体" w:hAnsi="宋体" w:cs="Arial"/>
          <w:b/>
          <w:bCs/>
          <w:color w:val="auto"/>
          <w:sz w:val="24"/>
          <w:szCs w:val="24"/>
        </w:rPr>
      </w:pPr>
      <w:r>
        <w:rPr>
          <w:rFonts w:hint="eastAsia" w:ascii="宋体" w:hAnsi="宋体" w:cs="Arial"/>
          <w:b/>
          <w:bCs/>
          <w:color w:val="auto"/>
          <w:sz w:val="24"/>
          <w:szCs w:val="24"/>
        </w:rPr>
        <w:t>9</w:t>
      </w:r>
      <w:r>
        <w:rPr>
          <w:rFonts w:ascii="宋体" w:hAnsi="宋体" w:cs="Arial"/>
          <w:b/>
          <w:bCs/>
          <w:color w:val="auto"/>
          <w:sz w:val="24"/>
          <w:szCs w:val="24"/>
        </w:rPr>
        <w:t>.4</w:t>
      </w:r>
      <w:r>
        <w:rPr>
          <w:rFonts w:hint="eastAsia" w:ascii="宋体" w:hAnsi="宋体" w:cs="Arial"/>
          <w:b/>
          <w:bCs/>
          <w:color w:val="auto"/>
          <w:sz w:val="24"/>
          <w:szCs w:val="24"/>
        </w:rPr>
        <w:t>企业报价折扣证明</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（1）投标人为中小企业（含中型、小型、微型企业，下同）的，提供《中小企业声明函》（加盖电子签章，填写完整，格式见招标文件第六章《投标文件相关格式》）；</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（2）投标人为监狱企业的等同于小微企业，提供省级以上监狱管理局、戒毒管理局（含新疆生产建设兵团）出具的属于监狱企业的证明文件；</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（3）投标人为享受政府采购支持政策的残疾人福利性单位的等同于小微企业，提供《残疾人福利性单位声明函》（加盖电子签章，格式见招标文件第六章《投标文件相关格式》）。</w:t>
      </w:r>
    </w:p>
    <w:p>
      <w:pPr>
        <w:widowControl/>
        <w:spacing w:line="480" w:lineRule="exact"/>
        <w:ind w:firstLine="482"/>
        <w:jc w:val="left"/>
        <w:rPr>
          <w:rFonts w:ascii="宋体" w:hAnsi="宋体" w:cs="Arial"/>
          <w:b/>
          <w:bCs/>
          <w:color w:val="auto"/>
          <w:sz w:val="24"/>
          <w:szCs w:val="24"/>
        </w:rPr>
      </w:pPr>
      <w:r>
        <w:rPr>
          <w:rFonts w:hint="eastAsia" w:ascii="宋体" w:hAnsi="宋体" w:cs="Arial"/>
          <w:b/>
          <w:bCs/>
          <w:color w:val="auto"/>
          <w:sz w:val="24"/>
          <w:szCs w:val="24"/>
        </w:rPr>
        <w:t>9.5招标文件要求的其他证明资料和评标细则要求提供证明材料。</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注：</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hint="eastAsia" w:ascii="宋体" w:hAnsi="宋体" w:cs="Arial"/>
          <w:b/>
          <w:bCs/>
          <w:color w:val="auto"/>
          <w:sz w:val="24"/>
          <w:szCs w:val="24"/>
          <w:u w:val="single"/>
        </w:rPr>
        <w:t>投标人应对以上文件的合法性、真实性负责，</w:t>
      </w:r>
      <w:r>
        <w:rPr>
          <w:rFonts w:ascii="宋体" w:hAnsi="宋体" w:cs="Arial"/>
          <w:b/>
          <w:bCs/>
          <w:color w:val="auto"/>
          <w:sz w:val="24"/>
          <w:szCs w:val="24"/>
          <w:u w:val="single"/>
        </w:rPr>
        <w:t>投标人提供的材料如有虚假，视为提供虚假材料谋取中标资格，将被列入不良行为记录名单</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w:t>
      </w:r>
      <w:r>
        <w:rPr>
          <w:rFonts w:hint="eastAsia" w:ascii="宋体" w:hAnsi="宋体" w:cs="Arial"/>
          <w:b/>
          <w:bCs/>
          <w:color w:val="auto"/>
          <w:sz w:val="24"/>
          <w:szCs w:val="24"/>
          <w:u w:val="single"/>
        </w:rPr>
        <w:t>签订合同前，中标人必须向采购人提交其投标文件中所有材料原件，采购人核查无误后，签订合同。如中标人不能在采购人规定的时间内向采购人提供原件，将被采购人视为放弃中标资格</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10．投标文件线上格式要求</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0.1</w:t>
      </w:r>
      <w:r>
        <w:rPr>
          <w:rFonts w:hint="eastAsia" w:ascii="宋体" w:hAnsi="宋体" w:cs="Arial"/>
          <w:bCs/>
          <w:color w:val="auto"/>
          <w:sz w:val="24"/>
          <w:szCs w:val="24"/>
        </w:rPr>
        <w:t>投标人应当通过“苏采云”系统提交数据电文形式的投标文件（即电子投标）；</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 xml:space="preserve">0.2 </w:t>
      </w:r>
      <w:r>
        <w:rPr>
          <w:rFonts w:hint="eastAsia" w:ascii="宋体" w:hAnsi="宋体" w:cs="Arial"/>
          <w:bCs/>
          <w:color w:val="auto"/>
          <w:sz w:val="24"/>
          <w:szCs w:val="24"/>
        </w:rPr>
        <w:t>通过“苏采云”系统提交政府采购客户端工具导出加密的投标文件（后缀名为zip），投标文件不得超过</w:t>
      </w:r>
      <w:r>
        <w:rPr>
          <w:rFonts w:ascii="宋体" w:hAnsi="宋体" w:cs="Arial"/>
          <w:bCs/>
          <w:color w:val="auto"/>
          <w:sz w:val="24"/>
          <w:szCs w:val="24"/>
        </w:rPr>
        <w:t>1</w:t>
      </w:r>
      <w:r>
        <w:rPr>
          <w:rFonts w:hint="eastAsia" w:ascii="宋体" w:hAnsi="宋体" w:cs="Arial"/>
          <w:bCs/>
          <w:color w:val="auto"/>
          <w:sz w:val="24"/>
          <w:szCs w:val="24"/>
        </w:rPr>
        <w:t>50M；</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0.3</w:t>
      </w:r>
      <w:r>
        <w:rPr>
          <w:rFonts w:hint="eastAsia" w:ascii="宋体" w:hAnsi="宋体" w:cs="Arial"/>
          <w:b/>
          <w:bCs/>
          <w:color w:val="auto"/>
          <w:sz w:val="24"/>
          <w:szCs w:val="24"/>
          <w:u w:val="single"/>
        </w:rPr>
        <w:t>本项目采用线上投标，即供应商投标文件从政府采购客户端工具制作通过“苏采云”系统提交，未提供线上投标文件的，投标无效</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11．</w:t>
      </w:r>
      <w:r>
        <w:rPr>
          <w:rFonts w:hint="eastAsia" w:ascii="宋体" w:hAnsi="宋体" w:cs="Arial"/>
          <w:b/>
          <w:bCs/>
          <w:color w:val="auto"/>
          <w:sz w:val="24"/>
          <w:szCs w:val="24"/>
          <w:u w:val="single"/>
        </w:rPr>
        <w:t>线上</w:t>
      </w:r>
      <w:r>
        <w:rPr>
          <w:rFonts w:ascii="宋体" w:hAnsi="宋体" w:cs="Arial"/>
          <w:b/>
          <w:bCs/>
          <w:color w:val="auto"/>
          <w:sz w:val="24"/>
          <w:szCs w:val="24"/>
          <w:u w:val="single"/>
        </w:rPr>
        <w:t>投标文件的密封</w:t>
      </w:r>
      <w:r>
        <w:rPr>
          <w:rFonts w:hint="eastAsia" w:ascii="宋体" w:hAnsi="宋体" w:cs="Arial"/>
          <w:b/>
          <w:bCs/>
          <w:color w:val="auto"/>
          <w:sz w:val="24"/>
          <w:szCs w:val="24"/>
          <w:u w:val="single"/>
        </w:rPr>
        <w:t>、签署、盖章要求</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1.1</w:t>
      </w:r>
      <w:r>
        <w:rPr>
          <w:rFonts w:hint="eastAsia" w:ascii="宋体" w:hAnsi="宋体" w:cs="Arial"/>
          <w:bCs/>
          <w:color w:val="auto"/>
          <w:sz w:val="24"/>
          <w:szCs w:val="24"/>
        </w:rPr>
        <w:t>投标文件的密封（加密）要求：</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投标人应当按照招标文件和“苏采云”系统的要求编制并加密投标文件。本项目投标人须通过“苏采云”系统提供的政府采购客户端工具（使用“CA数字证书”）对其数据电文形式的投标文件加密；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1.2</w:t>
      </w:r>
      <w:r>
        <w:rPr>
          <w:rFonts w:hint="eastAsia" w:ascii="宋体" w:hAnsi="宋体" w:cs="Arial"/>
          <w:bCs/>
          <w:color w:val="auto"/>
          <w:sz w:val="24"/>
          <w:szCs w:val="24"/>
        </w:rPr>
        <w:t>投标文件的签署要求：见招标文件第六章《投标文件相关格式》；</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1.3</w:t>
      </w:r>
      <w:r>
        <w:rPr>
          <w:rFonts w:hint="eastAsia" w:ascii="宋体" w:hAnsi="宋体" w:cs="Arial"/>
          <w:bCs/>
          <w:color w:val="auto"/>
          <w:sz w:val="24"/>
          <w:szCs w:val="24"/>
        </w:rPr>
        <w:t>投标文件的盖章要求：见招标文件第二章《线上投标文件编制要求》和招标文件第六章《投标文件相关格式》。投标人须通过“苏采云”系统提供的政府采购客户端工具（使用“CA数字证书”）加盖电子签章；</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说明：投标人应在用CA数字证书以及自备的能够登录“苏采云”系统的笔记本电脑，在达到开标时间后，使用CA数字证书解密各自投标文件。</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1.4</w:t>
      </w:r>
      <w:r>
        <w:rPr>
          <w:rFonts w:hint="eastAsia" w:ascii="宋体" w:hAnsi="宋体" w:cs="Arial"/>
          <w:bCs/>
          <w:color w:val="auto"/>
          <w:sz w:val="24"/>
          <w:szCs w:val="24"/>
        </w:rPr>
        <w:t>投标人未按规定加密的投标文件，“苏采云”系统应当拒收并提示。</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 xml:space="preserve">2. </w:t>
      </w:r>
      <w:r>
        <w:rPr>
          <w:rFonts w:hint="eastAsia" w:ascii="宋体" w:hAnsi="宋体" w:cs="Arial"/>
          <w:bCs/>
          <w:color w:val="auto"/>
          <w:sz w:val="24"/>
          <w:szCs w:val="24"/>
        </w:rPr>
        <w:t>投标文件的提交与接收</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 xml:space="preserve">12.1 </w:t>
      </w:r>
      <w:r>
        <w:rPr>
          <w:rFonts w:hint="eastAsia" w:ascii="宋体" w:hAnsi="宋体" w:cs="Arial"/>
          <w:bCs/>
          <w:color w:val="auto"/>
          <w:sz w:val="24"/>
          <w:szCs w:val="24"/>
        </w:rPr>
        <w:t>投标文件提交与接收时间：</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线上提交与接收时间：</w:t>
      </w:r>
      <w:r>
        <w:rPr>
          <w:rFonts w:hint="eastAsia" w:ascii="宋体" w:hAnsi="宋体" w:cs="Arial"/>
          <w:bCs/>
          <w:color w:val="auto"/>
          <w:sz w:val="24"/>
          <w:szCs w:val="24"/>
          <w:u w:val="single"/>
        </w:rPr>
        <w:t>提交投标文件截止时间前</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12.2</w:t>
      </w:r>
      <w:r>
        <w:rPr>
          <w:rFonts w:hint="eastAsia" w:ascii="宋体" w:hAnsi="宋体" w:cs="Arial"/>
          <w:bCs/>
          <w:color w:val="auto"/>
          <w:sz w:val="24"/>
          <w:szCs w:val="24"/>
        </w:rPr>
        <w:t>投标文件提交与接收地点：</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线上提交与接收地点：</w:t>
      </w:r>
      <w:r>
        <w:rPr>
          <w:rFonts w:hint="eastAsia" w:ascii="宋体" w:hAnsi="宋体" w:cs="Arial"/>
          <w:b/>
          <w:bCs/>
          <w:color w:val="auto"/>
          <w:sz w:val="24"/>
          <w:szCs w:val="24"/>
          <w:u w:val="single"/>
        </w:rPr>
        <w:t>投标人应当通过“苏采云”系统提交数据电文形式的投标文件（即电子投标），“苏采云”系统自动接收</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说明：</w:t>
      </w:r>
      <w:r>
        <w:rPr>
          <w:rFonts w:hint="eastAsia" w:ascii="宋体" w:hAnsi="宋体" w:cs="Arial"/>
          <w:b/>
          <w:bCs/>
          <w:color w:val="auto"/>
          <w:spacing w:val="-2"/>
          <w:sz w:val="24"/>
          <w:szCs w:val="24"/>
          <w:u w:val="single"/>
        </w:rPr>
        <w:t>电子投标文件应由其法定代表人或法定代表人授权代表在规定的网上投标时间内，凭 CA 证书登录“苏采云”系统在线编制投标文件（电子数据），并在投标截止时间之前上传投标文件。投标人应在达到开标时间后，使用CA数字证书解密各自投标文件</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13．投标文件的撤回与修改</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13.1投标文件的撤回</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13.1.1电子投标文件的撤回</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投标人可在投标截止时间前，撤回其电子投标文件，具体操作方法见《江苏省政府采购（供应商）国信CA数字证书及电子签章办理指南》；</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13.1.2投标人撤回电子投标文件，则认为其不再参与本项目投标活动。</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13.2 投标文件的修改</w:t>
      </w:r>
      <w:r>
        <w:rPr>
          <w:rFonts w:hint="eastAsia" w:ascii="宋体" w:hAnsi="宋体" w:cs="Arial"/>
          <w:bCs/>
          <w:color w:val="auto"/>
          <w:sz w:val="24"/>
          <w:szCs w:val="24"/>
        </w:rPr>
        <w:t>，投标人可在投标截止时间前，对其电子投标文件进行修改，具体操作方法见《江苏省政府采购（供应商）国信CA数字证书及电子签章办理指南》；</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13.3 在投标截止时间之后，投标人不得对其电子投标文件作任何修改</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13.4 在投标截止时间至招标文件中规定的投标有效期满之间的这段时间内，投标人不得撤回其投标。</w:t>
      </w:r>
    </w:p>
    <w:p>
      <w:pPr>
        <w:spacing w:before="156" w:after="156" w:line="400" w:lineRule="exact"/>
        <w:ind w:left="238"/>
        <w:jc w:val="center"/>
        <w:outlineLvl w:val="1"/>
        <w:rPr>
          <w:rFonts w:ascii="宋体" w:hAnsi="宋体"/>
          <w:b/>
          <w:color w:val="auto"/>
          <w:sz w:val="24"/>
          <w:szCs w:val="24"/>
        </w:rPr>
      </w:pPr>
      <w:bookmarkStart w:id="14" w:name="_Toc130206645"/>
      <w:r>
        <w:rPr>
          <w:rFonts w:hint="eastAsia" w:ascii="宋体" w:hAnsi="宋体"/>
          <w:b/>
          <w:color w:val="auto"/>
          <w:sz w:val="24"/>
          <w:szCs w:val="24"/>
        </w:rPr>
        <w:t>五、开标及资格审查</w:t>
      </w:r>
      <w:bookmarkEnd w:id="14"/>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4．开标、唱标、资格审查</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 xml:space="preserve">14.1 </w:t>
      </w:r>
      <w:r>
        <w:rPr>
          <w:rFonts w:hint="eastAsia" w:ascii="宋体" w:hAnsi="宋体" w:cs="Arial"/>
          <w:bCs/>
          <w:color w:val="auto"/>
          <w:sz w:val="24"/>
          <w:szCs w:val="24"/>
        </w:rPr>
        <w:t>线上开标时，“苏采云”系统自动提取所有投标文件，投标人按招标文件规定方式按时在线解密。本项目招标文件规定的投标人按时在线解密方式：通过“苏采云”系统（使用“CA数字证书”）解密；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4.2</w:t>
      </w:r>
      <w:r>
        <w:rPr>
          <w:rFonts w:hint="eastAsia" w:ascii="宋体" w:hAnsi="宋体" w:cs="Arial"/>
          <w:bCs/>
          <w:color w:val="auto"/>
          <w:sz w:val="24"/>
          <w:szCs w:val="24"/>
        </w:rPr>
        <w:t>所有投标人解密（或解密时间）结束后，“苏采云”系统生成开标记录并向社会公众公布，但依法应当保密的除外；</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14.3开标时，《开标一览表》（报价表）内容与投标文件中相应内容不一致的，以《开标一览表》（报价表）为准</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14.4 投标文件、《开标一览表》（报价表）中报价的大写金额与小写金额不一致的，以大写金额为准</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14.5 单价金额小数点或者百分比有明显错位的，以《开标一览表》（报价表）的总价为准，并修改单价</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14.6 总价金额与按单价汇总金额不一致的，以单价金额计算结果为准；</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14.7同时出现14.3-14.6中两种以上不一致的,按照14.3-14.6的顺序修正。修正后的报价由法定代表人/单位负责人或其授权的代表签字确认后产生约束力，投标人不确认的，投标无效</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14.8 对不同文字文本投标文件的解释发生异议的，以中文文本为准</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14.9资格审查：开标结束后，依据法规政策和招标文件的规定，在对投标文件详细评估之前，采购人或采购代理机构将依据投标人提交的投标文件按招标公告第</w:t>
      </w:r>
      <w:r>
        <w:rPr>
          <w:rFonts w:hint="eastAsia" w:ascii="宋体" w:hAnsi="宋体" w:cs="Arial"/>
          <w:bCs/>
          <w:color w:val="auto"/>
          <w:sz w:val="24"/>
          <w:szCs w:val="24"/>
        </w:rPr>
        <w:t>二</w:t>
      </w:r>
      <w:r>
        <w:rPr>
          <w:rFonts w:ascii="宋体" w:hAnsi="宋体" w:cs="Arial"/>
          <w:bCs/>
          <w:color w:val="auto"/>
          <w:sz w:val="24"/>
          <w:szCs w:val="24"/>
        </w:rPr>
        <w:t>项所述的资格标准对投标人进行资格审查, 以确定其是否具备投标资格。如果投标人不具备投标资格、不满足招标文件所规定的资格标准或提供资格证明文件不全, 其投标将被作为无效投标，不得参与下一环节的评审。</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采购人及采购代理机构在进行资格性审查的同时，将在“信用中国”网站</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www.creditchina.gov.cn）对投标人是否被列入失信被执行人、重大税收违法案件当事人名单、政府采购严重失信行为记录名单情况进行查询，以确定投标人是否具备投标资格。查询结果将以网页打印的形式留存并归档。</w:t>
      </w:r>
    </w:p>
    <w:p>
      <w:pPr>
        <w:spacing w:before="156" w:after="156" w:line="400" w:lineRule="exact"/>
        <w:jc w:val="center"/>
        <w:outlineLvl w:val="1"/>
        <w:rPr>
          <w:rFonts w:ascii="宋体" w:hAnsi="宋体"/>
          <w:b/>
          <w:color w:val="auto"/>
          <w:sz w:val="24"/>
          <w:szCs w:val="24"/>
        </w:rPr>
      </w:pPr>
      <w:bookmarkStart w:id="15" w:name="_Toc130206646"/>
      <w:r>
        <w:rPr>
          <w:rFonts w:hint="eastAsia" w:ascii="宋体" w:hAnsi="宋体"/>
          <w:b/>
          <w:color w:val="auto"/>
          <w:sz w:val="24"/>
          <w:szCs w:val="24"/>
        </w:rPr>
        <w:t>六、评  标</w:t>
      </w:r>
      <w:bookmarkEnd w:id="15"/>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15．组建评标委员会</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采购单位根据项目的特点依法组建评标委员会。评标委员会由采购人代表和有关评审专家组成。开标后由评标委员会对投标文件进行审查、质疑、评估和比较。评标委员会完成评标后，应当向采购人提出书面评标报告，推荐1名合格的中标候选人。</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w:t>
      </w:r>
      <w:r>
        <w:rPr>
          <w:rFonts w:hint="eastAsia" w:ascii="宋体" w:hAnsi="宋体" w:cs="Arial"/>
          <w:bCs/>
          <w:color w:val="auto"/>
          <w:sz w:val="24"/>
          <w:szCs w:val="24"/>
        </w:rPr>
        <w:t>.</w:t>
      </w:r>
      <w:r>
        <w:rPr>
          <w:rFonts w:ascii="宋体" w:hAnsi="宋体" w:cs="Arial"/>
          <w:bCs/>
          <w:color w:val="auto"/>
          <w:sz w:val="24"/>
          <w:szCs w:val="24"/>
        </w:rPr>
        <w:t>投标文件的审查</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16.1对所有投标人的评估，都采用相同的程序和标准。评标过程将严格按照招标文件的要求和条件进行</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16.2评标委员会将对投标文件进行检查，以确定投标文件是否完整、有无计算上的错误、文件是否已正确签署等</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16.3评标委员会将对确定为实质性响应的投标文件进行进一步评审，看其是否有计算上或累加上的算术错误，修正错误的原则如下：</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16.3.1如果用数字表示的金额和用文字表示的金额不一致时，应以文字表示的金额为准进行修正；</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16.3.2当单价与数量的乘积和总价不一致时，以单价为准进行修正。只有在评委会认为单价有明显的小数点错误时，才能以标出的总价为准，并修改单价；</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16.3.3评标委员会将按上述修正错误的方法调整投标文件中的投标价，调整后的价格应对投标人具有约束力。如果投标人不接受修正后的价格，则其投标将被拒绝；</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16.3.4评委会将允许修正投标文件中不构成重大偏离的、微小的、非正规的、不一致的或不规则的地方，但这些修改不能影响任何投标人相应的名次排列。</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16.4符合性检查</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16.4.1符合性检查：依据招标文件的规定，评标委员会将对通过资格审查的投标文件的有效性、完整性和对招标文件的响应程度进行审查，以确定是否符合对招标文件的实质性要求作出响应。对没有实质性响应的投标文件将不进行评估，其投标被作为无效投标。凡有下列情况之一者，投标文件将被视为未实质性响应招标文件要求。</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投标人未按照招标文件要求上传电子投标文件的；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w:t>
      </w:r>
      <w:r>
        <w:rPr>
          <w:rFonts w:ascii="宋体" w:hAnsi="宋体" w:cs="Arial"/>
          <w:bCs/>
          <w:color w:val="auto"/>
          <w:sz w:val="24"/>
          <w:szCs w:val="24"/>
        </w:rPr>
        <w:t>投标人未在规定解密时间内进行解密；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w:t>
      </w:r>
      <w:r>
        <w:rPr>
          <w:rFonts w:ascii="宋体" w:hAnsi="宋体" w:cs="Arial"/>
          <w:bCs/>
          <w:color w:val="auto"/>
          <w:sz w:val="24"/>
          <w:szCs w:val="24"/>
        </w:rPr>
        <w:t>投标人在报价时采用选择性报价；</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w:t>
      </w:r>
      <w:r>
        <w:rPr>
          <w:rFonts w:ascii="宋体" w:hAnsi="宋体" w:cs="Arial"/>
          <w:bCs/>
          <w:color w:val="auto"/>
          <w:sz w:val="24"/>
          <w:szCs w:val="24"/>
        </w:rPr>
        <w:t>投标人不具备招标文件中规定资格要求的；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（5）</w:t>
      </w:r>
      <w:r>
        <w:rPr>
          <w:rFonts w:ascii="宋体" w:hAnsi="宋体" w:cs="Arial"/>
          <w:bCs/>
          <w:color w:val="auto"/>
          <w:sz w:val="24"/>
          <w:szCs w:val="24"/>
        </w:rPr>
        <w:t>投标人的报价超过了采购预算或最高限价的；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w:t>
      </w:r>
      <w:r>
        <w:rPr>
          <w:rFonts w:ascii="宋体" w:hAnsi="宋体" w:cs="Arial"/>
          <w:bCs/>
          <w:color w:val="auto"/>
          <w:sz w:val="24"/>
          <w:szCs w:val="24"/>
        </w:rPr>
        <w:t>未通过符合性检查的；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（7）</w:t>
      </w:r>
      <w:r>
        <w:rPr>
          <w:rFonts w:ascii="宋体" w:hAnsi="宋体" w:cs="Arial"/>
          <w:bCs/>
          <w:color w:val="auto"/>
          <w:sz w:val="24"/>
          <w:szCs w:val="24"/>
        </w:rPr>
        <w:t>不符合招标文件中规定的其他实质性要求和条件的；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w:t>
      </w:r>
      <w:r>
        <w:rPr>
          <w:rFonts w:ascii="宋体" w:hAnsi="宋体" w:cs="Arial"/>
          <w:bCs/>
          <w:color w:val="auto"/>
          <w:sz w:val="24"/>
          <w:szCs w:val="24"/>
        </w:rPr>
        <w:t>8</w:t>
      </w:r>
      <w:r>
        <w:rPr>
          <w:rFonts w:hint="eastAsia" w:ascii="宋体" w:hAnsi="宋体" w:cs="Arial"/>
          <w:bCs/>
          <w:color w:val="auto"/>
          <w:sz w:val="24"/>
          <w:szCs w:val="24"/>
        </w:rPr>
        <w:t>）</w:t>
      </w:r>
      <w:r>
        <w:rPr>
          <w:rFonts w:ascii="宋体" w:hAnsi="宋体" w:cs="Arial"/>
          <w:bCs/>
          <w:color w:val="auto"/>
          <w:sz w:val="24"/>
          <w:szCs w:val="24"/>
        </w:rPr>
        <w:t>投标人串通投标；</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（9）</w:t>
      </w:r>
      <w:r>
        <w:rPr>
          <w:rFonts w:ascii="宋体" w:hAnsi="宋体" w:cs="Arial"/>
          <w:bCs/>
          <w:color w:val="auto"/>
          <w:sz w:val="24"/>
          <w:szCs w:val="24"/>
        </w:rPr>
        <w:t>投标文件含有采购人不能接受的附加条件的。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0</w:t>
      </w:r>
      <w:r>
        <w:rPr>
          <w:rFonts w:hint="eastAsia" w:ascii="宋体" w:hAnsi="宋体" w:cs="Arial"/>
          <w:bCs/>
          <w:color w:val="auto"/>
          <w:sz w:val="24"/>
          <w:szCs w:val="24"/>
        </w:rPr>
        <w:t>）</w:t>
      </w:r>
      <w:r>
        <w:rPr>
          <w:rFonts w:ascii="宋体" w:hAnsi="宋体" w:cs="Arial"/>
          <w:bCs/>
          <w:color w:val="auto"/>
          <w:sz w:val="24"/>
          <w:szCs w:val="24"/>
        </w:rPr>
        <w:t>不符合招标文件中规定的其它实质性条款以及法律法规规定的其他情形（如低于当地最低工资标准）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1</w:t>
      </w:r>
      <w:r>
        <w:rPr>
          <w:rFonts w:hint="eastAsia" w:ascii="宋体" w:hAnsi="宋体" w:cs="Arial"/>
          <w:bCs/>
          <w:color w:val="auto"/>
          <w:sz w:val="24"/>
          <w:szCs w:val="24"/>
        </w:rPr>
        <w:t>）</w:t>
      </w:r>
      <w:r>
        <w:rPr>
          <w:rFonts w:ascii="宋体" w:hAnsi="宋体" w:cs="Arial"/>
          <w:bCs/>
          <w:color w:val="auto"/>
          <w:sz w:val="24"/>
          <w:szCs w:val="24"/>
        </w:rPr>
        <w:t>被“信用中国”网站（www.creditchina.gov.cn）列入失信被执行人、重大税收违法案件当事人名单、政府采购严重失信行为记录名单</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2</w:t>
      </w:r>
      <w:r>
        <w:rPr>
          <w:rFonts w:hint="eastAsia" w:ascii="宋体" w:hAnsi="宋体" w:cs="Arial"/>
          <w:bCs/>
          <w:color w:val="auto"/>
          <w:sz w:val="24"/>
          <w:szCs w:val="24"/>
        </w:rPr>
        <w:t>）</w:t>
      </w:r>
      <w:r>
        <w:rPr>
          <w:rFonts w:ascii="宋体" w:hAnsi="宋体" w:cs="Arial"/>
          <w:bCs/>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3</w:t>
      </w:r>
      <w:r>
        <w:rPr>
          <w:rFonts w:hint="eastAsia" w:ascii="宋体" w:hAnsi="宋体" w:cs="Arial"/>
          <w:bCs/>
          <w:color w:val="auto"/>
          <w:sz w:val="24"/>
          <w:szCs w:val="24"/>
        </w:rPr>
        <w:t>）</w:t>
      </w:r>
      <w:r>
        <w:rPr>
          <w:rFonts w:ascii="宋体" w:hAnsi="宋体" w:cs="Arial"/>
          <w:bCs/>
          <w:color w:val="auto"/>
          <w:sz w:val="24"/>
          <w:szCs w:val="24"/>
        </w:rPr>
        <w:t>投标文件未按照招标文件要求加盖电子签章。</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w:t>
      </w:r>
      <w:r>
        <w:rPr>
          <w:rFonts w:ascii="宋体" w:hAnsi="宋体" w:cs="Arial"/>
          <w:bCs/>
          <w:color w:val="auto"/>
          <w:sz w:val="24"/>
          <w:szCs w:val="24"/>
        </w:rPr>
        <w:t>4</w:t>
      </w:r>
      <w:r>
        <w:rPr>
          <w:rFonts w:hint="eastAsia" w:ascii="宋体" w:hAnsi="宋体" w:cs="Arial"/>
          <w:bCs/>
          <w:color w:val="auto"/>
          <w:sz w:val="24"/>
          <w:szCs w:val="24"/>
        </w:rPr>
        <w:t>）</w:t>
      </w:r>
      <w:r>
        <w:rPr>
          <w:rFonts w:ascii="宋体" w:hAnsi="宋体" w:cs="Arial"/>
          <w:bCs/>
          <w:color w:val="auto"/>
          <w:sz w:val="24"/>
          <w:szCs w:val="24"/>
        </w:rPr>
        <w:t>其他法律、法规及本招标文件规定的属无效投标的情形。</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评标委员会决定投标响应性只根据投标文件本身的内容，而不寻求其他的外部证据。</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16.5在评审过程中，评标委员会发现投标人有下列情形之一的，可以认定属于串标、围标的行为。具体表现形式如下：</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16.5.1不同投标人的投标文件异常一致或者投标报价呈规律性差异的</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16.5.2不同投标人的投标文件由同一单位或个人编制的</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16.5.3不同投标人的投标文件载明的项目管理成员为同一人的</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16.5.4不同投标人的投标文件相互混装的</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16.5.5不同投标人授权同一人作为投标人代表的</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16.5.6不同投标人的投标保证金从同一单位或者个人的账户转出的</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16.5.7</w:t>
      </w:r>
      <w:r>
        <w:rPr>
          <w:rFonts w:ascii="宋体" w:hAnsi="宋体" w:cs="Arial"/>
          <w:bCs/>
          <w:color w:val="auto"/>
          <w:spacing w:val="-4"/>
          <w:sz w:val="24"/>
          <w:szCs w:val="24"/>
        </w:rPr>
        <w:t>有证据证明投标人与采购单位、采购代理机构或其他投标人串通的其他情形的</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16.5.8评标委员会认定的其他串标、围标情形</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16.6有下列情形之一的予以废标，同时将废标理由通知所有服务单位：</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w:t>
      </w:r>
      <w:r>
        <w:rPr>
          <w:rFonts w:ascii="宋体" w:hAnsi="宋体" w:cs="Arial"/>
          <w:bCs/>
          <w:color w:val="auto"/>
          <w:spacing w:val="-4"/>
          <w:sz w:val="24"/>
          <w:szCs w:val="24"/>
        </w:rPr>
        <w:t>符合专业条件的服务单位或者对招标文件作实质性响应的服务单位不足三家的</w:t>
      </w:r>
      <w:r>
        <w:rPr>
          <w:rFonts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（2）出现影响采购公正的违法、违规行为的；</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（3）服务单位的报价均超过了采购预算或最高限价的，采购人不能支付的；</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（4）因重大变故，采购任务取消的；</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（5）投标文件存在歧义、重大缺陷，或者招标文件内容违反国家有关强制性规定的。</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17</w:t>
      </w:r>
      <w:r>
        <w:rPr>
          <w:rFonts w:hint="eastAsia" w:ascii="宋体" w:hAnsi="宋体" w:cs="Arial"/>
          <w:bCs/>
          <w:color w:val="auto"/>
          <w:sz w:val="24"/>
          <w:szCs w:val="24"/>
        </w:rPr>
        <w:t xml:space="preserve">. </w:t>
      </w:r>
      <w:r>
        <w:rPr>
          <w:rFonts w:ascii="宋体" w:hAnsi="宋体" w:cs="Arial"/>
          <w:bCs/>
          <w:color w:val="auto"/>
          <w:sz w:val="24"/>
          <w:szCs w:val="24"/>
        </w:rPr>
        <w:t>比较与评价</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17.1评标委员会将按本招标文件规定的评标方法与标准，对资格性检查和符合性检查合格的投标文件进行商务和技术评估，综合比较与评价</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17.2对漏（缺）报项的处理：招标文件中要求列入报价的费用（含配置、功能），漏（缺）报的视同已含在投标总价中。对多报项及赠送项的价格评标时不予核减，全部进入评标评议。</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18．评标过程及保密原则</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18.1凡与本次招标有关人员对属于审查、澄清、评价和比较投标的有关资料以及定标意向等，均不得向投标人或其他人员透露。否则,将按有关规定追究相关人员的责任</w:t>
      </w:r>
      <w:r>
        <w:rPr>
          <w:rFonts w:hint="eastAsia" w:ascii="宋体" w:hAnsi="宋体" w:cs="Arial"/>
          <w:bCs/>
          <w:color w:val="auto"/>
          <w:sz w:val="24"/>
          <w:szCs w:val="24"/>
        </w:rPr>
        <w:t>；</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18.2在评标期间，投标人试图影响或干预评审的任何行为，将导致其投标被作为无效投标，并承担相应的法律责任</w:t>
      </w:r>
      <w:r>
        <w:rPr>
          <w:rFonts w:hint="eastAsia" w:ascii="宋体" w:hAnsi="宋体" w:cs="Arial"/>
          <w:bCs/>
          <w:color w:val="auto"/>
          <w:sz w:val="24"/>
          <w:szCs w:val="24"/>
        </w:rPr>
        <w:t>。</w:t>
      </w:r>
    </w:p>
    <w:p>
      <w:pPr>
        <w:spacing w:before="156" w:after="156" w:line="400" w:lineRule="exact"/>
        <w:jc w:val="center"/>
        <w:outlineLvl w:val="1"/>
        <w:rPr>
          <w:rFonts w:ascii="宋体" w:hAnsi="宋体"/>
          <w:b/>
          <w:color w:val="auto"/>
          <w:sz w:val="24"/>
          <w:szCs w:val="24"/>
        </w:rPr>
      </w:pPr>
      <w:bookmarkStart w:id="16" w:name="_Toc130206647"/>
      <w:r>
        <w:rPr>
          <w:rFonts w:hint="eastAsia" w:ascii="宋体" w:hAnsi="宋体"/>
          <w:b/>
          <w:color w:val="auto"/>
          <w:sz w:val="24"/>
          <w:szCs w:val="24"/>
        </w:rPr>
        <w:t>七、定  标</w:t>
      </w:r>
      <w:bookmarkEnd w:id="16"/>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19.定标原则</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19.1最低投标价不作为中标的保证；</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19.2本次招标评标方法为综合评分法</w:t>
      </w:r>
    </w:p>
    <w:p>
      <w:pPr>
        <w:widowControl/>
        <w:spacing w:line="480" w:lineRule="exact"/>
        <w:ind w:firstLine="472"/>
        <w:jc w:val="left"/>
        <w:rPr>
          <w:rFonts w:ascii="宋体" w:hAnsi="宋体" w:cs="Arial"/>
          <w:bCs/>
          <w:color w:val="auto"/>
          <w:sz w:val="24"/>
          <w:szCs w:val="24"/>
        </w:rPr>
      </w:pPr>
      <w:r>
        <w:rPr>
          <w:rFonts w:hint="eastAsia" w:ascii="宋体" w:hAnsi="宋体" w:cs="Arial"/>
          <w:bCs/>
          <w:color w:val="auto"/>
          <w:spacing w:val="-2"/>
          <w:sz w:val="24"/>
          <w:szCs w:val="24"/>
        </w:rPr>
        <w:t>投标文件满足招标文件全部实质性要求且按照评审因素的量化指标评审得分最高的供应商为中标候选人的评标方法。按评审后的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bCs/>
          <w:color w:val="auto"/>
          <w:sz w:val="24"/>
          <w:szCs w:val="24"/>
        </w:rPr>
        <w:t>；</w:t>
      </w:r>
    </w:p>
    <w:p>
      <w:pPr>
        <w:spacing w:line="480" w:lineRule="exact"/>
        <w:ind w:firstLine="482"/>
        <w:rPr>
          <w:rFonts w:ascii="宋体" w:hAnsi="宋体" w:cs="宋体"/>
          <w:color w:val="auto"/>
          <w:sz w:val="24"/>
          <w:szCs w:val="20"/>
        </w:rPr>
      </w:pPr>
      <w:r>
        <w:rPr>
          <w:rFonts w:hint="eastAsia" w:ascii="宋体" w:hAnsi="宋体" w:cs="宋体"/>
          <w:b/>
          <w:color w:val="auto"/>
          <w:sz w:val="24"/>
          <w:szCs w:val="20"/>
        </w:rPr>
        <w:t>本项目提供相同</w:t>
      </w:r>
      <w:r>
        <w:rPr>
          <w:rFonts w:hint="eastAsia" w:ascii="宋体" w:hAnsi="宋体" w:cs="宋体"/>
          <w:b/>
          <w:color w:val="auto"/>
          <w:sz w:val="24"/>
          <w:szCs w:val="20"/>
          <w:highlight w:val="none"/>
        </w:rPr>
        <w:t>品牌核心产品（</w:t>
      </w:r>
      <w:r>
        <w:rPr>
          <w:rFonts w:hint="eastAsia" w:ascii="宋体" w:hAnsi="宋体" w:cs="宋体"/>
          <w:b/>
          <w:color w:val="auto"/>
          <w:sz w:val="24"/>
          <w:szCs w:val="20"/>
          <w:lang w:val="en-US" w:eastAsia="zh-CN"/>
        </w:rPr>
        <w:t>54位智能短枪柜</w:t>
      </w:r>
      <w:r>
        <w:rPr>
          <w:rFonts w:hint="eastAsia" w:ascii="宋体" w:hAnsi="宋体" w:cs="宋体"/>
          <w:b/>
          <w:color w:val="auto"/>
          <w:sz w:val="24"/>
          <w:szCs w:val="20"/>
        </w:rPr>
        <w:t>）且通过资格审查、符合性审查的不同投标人按一家投标人计算，评审后得分最高的同品牌投标人获得中标人推荐资格；评审得分相同的，按投标报价由低到高排列；得分且投标报价相同的并列，投标文件满足招标文件全部实质性要求，且按照评审因素的量化指标评审得分最高得投标人为排名第一的中标候选人。</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19.3 推荐的中标候选人数：1名。排名第一的中标候选人放弃中标，或因不可抗力提出不能履行合同，或者被查实存在影响中标结果的违法行为等情形，不符合中标条件的，本项目直接重新招标，不得确定其他投标人为中标人。</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20. 确定中标供应商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采购人将根据评标委员会的书面评标报告，依据法律法规确定中标人。采购人不得在评标委员会推荐的中标候选人之外确定中标人，否则中标结果无效。</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21.中标通知书和签订合同</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w:t>
      </w:r>
      <w:r>
        <w:rPr>
          <w:rFonts w:ascii="宋体" w:hAnsi="宋体" w:cs="Arial"/>
          <w:bCs/>
          <w:color w:val="auto"/>
          <w:sz w:val="24"/>
          <w:szCs w:val="24"/>
        </w:rPr>
        <w:t>1</w:t>
      </w:r>
      <w:r>
        <w:rPr>
          <w:rFonts w:hint="eastAsia" w:ascii="宋体" w:hAnsi="宋体" w:cs="Arial"/>
          <w:bCs/>
          <w:color w:val="auto"/>
          <w:sz w:val="24"/>
          <w:szCs w:val="24"/>
        </w:rPr>
        <w:t>.1评审结束后，中标公告在江苏</w:t>
      </w:r>
      <w:r>
        <w:rPr>
          <w:rFonts w:ascii="宋体" w:hAnsi="宋体" w:cs="Arial"/>
          <w:bCs/>
          <w:color w:val="auto"/>
          <w:sz w:val="24"/>
          <w:szCs w:val="24"/>
        </w:rPr>
        <w:t>政府采购网</w:t>
      </w:r>
      <w:r>
        <w:rPr>
          <w:rFonts w:hint="eastAsia" w:ascii="宋体" w:hAnsi="宋体" w:cs="Arial"/>
          <w:bCs/>
          <w:color w:val="auto"/>
          <w:sz w:val="24"/>
          <w:szCs w:val="24"/>
        </w:rPr>
        <w:t>、盐城市政府采购网、建湖县公共资源交易电子化服务平台等相关媒体发布；公示结束向中标供应商发出中标通知书。中标通知书成为合同文件的组成部分，具有法律效力；</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w:t>
      </w:r>
      <w:r>
        <w:rPr>
          <w:rFonts w:ascii="宋体" w:hAnsi="宋体" w:cs="Arial"/>
          <w:bCs/>
          <w:color w:val="auto"/>
          <w:sz w:val="24"/>
          <w:szCs w:val="24"/>
        </w:rPr>
        <w:t>1</w:t>
      </w:r>
      <w:r>
        <w:rPr>
          <w:rFonts w:hint="eastAsia" w:ascii="宋体" w:hAnsi="宋体" w:cs="Arial"/>
          <w:bCs/>
          <w:color w:val="auto"/>
          <w:sz w:val="24"/>
          <w:szCs w:val="24"/>
        </w:rPr>
        <w:t>.2中标供应商在规定的时间内不领取中标通知书的，视为中标后自动放弃中标资格，承担由此引起的一切后果；</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w:t>
      </w:r>
      <w:r>
        <w:rPr>
          <w:rFonts w:ascii="宋体" w:hAnsi="宋体" w:cs="Arial"/>
          <w:bCs/>
          <w:color w:val="auto"/>
          <w:sz w:val="24"/>
          <w:szCs w:val="24"/>
        </w:rPr>
        <w:t>1</w:t>
      </w:r>
      <w:r>
        <w:rPr>
          <w:rFonts w:hint="eastAsia" w:ascii="宋体" w:hAnsi="宋体" w:cs="Arial"/>
          <w:bCs/>
          <w:color w:val="auto"/>
          <w:sz w:val="24"/>
          <w:szCs w:val="24"/>
        </w:rPr>
        <w:t>.3</w:t>
      </w:r>
      <w:r>
        <w:rPr>
          <w:rFonts w:ascii="宋体" w:hAnsi="宋体" w:cs="Arial"/>
          <w:bCs/>
          <w:color w:val="auto"/>
          <w:sz w:val="24"/>
          <w:szCs w:val="24"/>
        </w:rPr>
        <w:t xml:space="preserve"> </w:t>
      </w:r>
      <w:r>
        <w:rPr>
          <w:rFonts w:hint="eastAsia" w:ascii="宋体" w:hAnsi="宋体" w:cs="Arial"/>
          <w:bCs/>
          <w:color w:val="auto"/>
          <w:sz w:val="24"/>
          <w:szCs w:val="24"/>
        </w:rPr>
        <w:t>政府采购项目的采购合同自签订之日起七个工作日内，采购人应当将合同副本报同级政府采购监督管理部门和有关部门备案；</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 xml:space="preserve">21.4 </w:t>
      </w:r>
      <w:r>
        <w:rPr>
          <w:rFonts w:hint="eastAsia" w:ascii="宋体" w:hAnsi="宋体" w:cs="Arial"/>
          <w:bCs/>
          <w:color w:val="auto"/>
          <w:sz w:val="24"/>
          <w:szCs w:val="24"/>
        </w:rPr>
        <w:t>采购单位与中标供应商应当在《中标通知书》发出之日起三十日内，按采购文件确定的事情签订政府采购合同，合同在签订之日2个工作日内在盐城市政府采购网http://czj.yancheng.gov.cn/col/col2383/index.html上公示；</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w:t>
      </w:r>
      <w:r>
        <w:rPr>
          <w:rFonts w:ascii="宋体" w:hAnsi="宋体" w:cs="Arial"/>
          <w:bCs/>
          <w:color w:val="auto"/>
          <w:sz w:val="24"/>
          <w:szCs w:val="24"/>
        </w:rPr>
        <w:t>1</w:t>
      </w:r>
      <w:r>
        <w:rPr>
          <w:rFonts w:hint="eastAsia" w:ascii="宋体" w:hAnsi="宋体" w:cs="Arial"/>
          <w:bCs/>
          <w:color w:val="auto"/>
          <w:sz w:val="24"/>
          <w:szCs w:val="24"/>
        </w:rPr>
        <w:t>.</w:t>
      </w:r>
      <w:r>
        <w:rPr>
          <w:rFonts w:ascii="宋体" w:hAnsi="宋体" w:cs="Arial"/>
          <w:bCs/>
          <w:color w:val="auto"/>
          <w:sz w:val="24"/>
          <w:szCs w:val="24"/>
        </w:rPr>
        <w:t>5</w:t>
      </w:r>
      <w:r>
        <w:rPr>
          <w:rFonts w:hint="eastAsia" w:ascii="宋体" w:hAnsi="宋体" w:cs="Arial"/>
          <w:bCs/>
          <w:color w:val="auto"/>
          <w:sz w:val="24"/>
          <w:szCs w:val="24"/>
        </w:rPr>
        <w:t>中标单位如果未按中标通知书规定日期与采购单位签订合同，或要求更改招标文件内容而拖延合同签订，按照政府采购法相关法律法规执行。</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22. 质疑和投诉</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22.1 质疑供应商是指直接参加本次投标活动的供应商，未参加投标活动的供应商或在投标活动中自身权益未受到损害的供应商所提出的质疑不予受理；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22.2 质疑供应商必须以书面形式向采购人、采购代理机构提出质疑。；</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22.3 质疑函应包括以下主要内容，并按照“谁主张、谁举证”的原则，附上必要的证明材料（证明材料中如涉及到产品功能或技术指标的，应出具相关制造商的证明文件），否则，代理公司或采购人不予受理。质疑函应当包括下列内容：</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（1）供应商的姓名或者名称、地址、邮编、联系人及联系电话；</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（2）质疑项目的名称、编号；</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（3）具体、明确的质疑事项和与质疑事项相关的请求；</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（4）事实依据；</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（5）必要的法律依据；</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（6）提出质疑的日期。</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22.4 采购人或代理机构在收到供应商的书面质疑后将及时组织调查核实，在七个工作日内作出答复，并以书面形式通知质疑供应商，答复的内容不涉及商业秘密；</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22.5 投标人认为招标文件内容违法或不当的，应当在招标文件规定的截止时间前提出异议；认为开标活动违法的，应当在开标现场提出异议；对采购单位（采购代理机构）答复不满意或采购单位（采购代理机构）在规定时间内未予答复的，投标人可向建湖县财政局投诉。</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22.6 质疑或投诉程序</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投标人认为本次招标文件、招标过程和中标、成交结果违反法律、法规和规章规定的，应当首先依法向采购单位或采购代理机构提出质疑，对采购单位或采购代理机构质疑答复不满意的可到建湖县财政局提出投诉。投标人或者其他利害关系人不按规定投诉或通过捏造事实、伪造证明材料等方式提出异议或投诉，影响招投标活动正常进行的，招投标行政监督部门不予受理，并给予警告。</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22.7 恶意投诉情形</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下列情况之一，投标人的投诉将被界定为恶意投诉，监管机构将对投诉人按有关规定列入不良记录名单并上网公示，投标人今后参与政府项目将受到影响：</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（1）未按规定向投诉处理部门投诉或向不同部门多方投诉的；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（2）不符合投诉受理条件，被告知后仍进行投诉的；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（3）投诉处理部门受理投诉后，投诉人仍就同一内容向其他部门进行投诉的；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（4）捏造事实、伪造材料进行投诉或在网络等媒体上进行失实报道的；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（5）投诉经查失实，被告知后，仍然恶意缠诉的；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（6）一年内三次以上失实投诉的；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（7）直接向领导、纪委、检察部门写匿名信等。</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23.其他</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23.1投标单位因不良行为被下列部门取消或限制在全国、全省、全市、全县投标资格，并在不良行为记录公告期限内的，将被取消投标资格或者中标资格：</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①国家发改委、住建部、财政部、交通运输部、水利部、工信部、农业农村部及其招标采购监管机构；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②江苏省发改委、工信厅、住建厅、财政厅、交通运输厅、水利厅、农业农村厅及其招标采购监管机构；</w:t>
      </w:r>
    </w:p>
    <w:p>
      <w:pPr>
        <w:widowControl/>
        <w:spacing w:line="480" w:lineRule="exact"/>
        <w:ind w:firstLine="480"/>
        <w:jc w:val="left"/>
        <w:rPr>
          <w:color w:val="auto"/>
        </w:rPr>
      </w:pPr>
      <w:r>
        <w:rPr>
          <w:rFonts w:hint="eastAsia" w:ascii="宋体" w:hAnsi="宋体" w:cs="Arial"/>
          <w:bCs/>
          <w:color w:val="auto"/>
          <w:sz w:val="24"/>
          <w:szCs w:val="24"/>
        </w:rPr>
        <w:t>③盐城市发改委、工信局、住建局、财政局、交通运输局、水利局、农业农村局、行政审批局及其招标采购监管机构；</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④建湖县发改委、工信局、住建局、财政局、交通运输局、水利局、农业农村局、行政审批局；</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上述行政主管部门和招标采购监管机构以外的不良行为记录公告，一律不作为取消或限制投标资格和中标资格的依据。</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23.2 投标人存在失信被执行人信息的，按《关于在公共资源交易领域的招标投标活动中建立对失信被执行人联合惩戒机制的实施意见》（苏信用办（2018）23号）文件精神执行。</w:t>
      </w:r>
    </w:p>
    <w:p>
      <w:pPr>
        <w:widowControl/>
        <w:spacing w:line="480" w:lineRule="exact"/>
        <w:ind w:firstLine="480"/>
        <w:jc w:val="left"/>
        <w:rPr>
          <w:rFonts w:ascii="宋体" w:hAnsi="宋体" w:cs="Arial"/>
          <w:bCs/>
          <w:color w:val="auto"/>
          <w:sz w:val="24"/>
          <w:szCs w:val="24"/>
        </w:rPr>
      </w:pPr>
      <w:r>
        <w:rPr>
          <w:rFonts w:hint="eastAsia" w:ascii="宋体" w:hAnsi="宋体" w:cs="Arial"/>
          <w:bCs/>
          <w:color w:val="auto"/>
          <w:sz w:val="24"/>
          <w:szCs w:val="24"/>
        </w:rPr>
        <w:t>2</w:t>
      </w:r>
      <w:r>
        <w:rPr>
          <w:rFonts w:ascii="宋体" w:hAnsi="宋体" w:cs="Arial"/>
          <w:bCs/>
          <w:color w:val="auto"/>
          <w:sz w:val="24"/>
          <w:szCs w:val="24"/>
        </w:rPr>
        <w:t>4</w:t>
      </w:r>
      <w:r>
        <w:rPr>
          <w:rFonts w:hint="eastAsia" w:ascii="宋体" w:hAnsi="宋体" w:cs="Arial"/>
          <w:bCs/>
          <w:color w:val="auto"/>
          <w:sz w:val="24"/>
          <w:szCs w:val="24"/>
        </w:rPr>
        <w:t>.电子招标投标交易平台</w:t>
      </w:r>
    </w:p>
    <w:p>
      <w:pPr>
        <w:widowControl/>
        <w:spacing w:line="480" w:lineRule="exact"/>
        <w:ind w:firstLine="480"/>
        <w:jc w:val="left"/>
        <w:rPr>
          <w:rFonts w:ascii="宋体" w:hAnsi="宋体" w:cs="Arial"/>
          <w:bCs/>
          <w:color w:val="auto"/>
          <w:sz w:val="24"/>
          <w:szCs w:val="24"/>
        </w:rPr>
      </w:pPr>
      <w:r>
        <w:rPr>
          <w:rFonts w:ascii="宋体" w:hAnsi="宋体" w:cs="Arial"/>
          <w:bCs/>
          <w:color w:val="auto"/>
          <w:sz w:val="24"/>
          <w:szCs w:val="24"/>
        </w:rPr>
        <w:t>电子招标投标交易平台（即“苏采云”系统，网址：</w:t>
      </w:r>
      <w:r>
        <w:rPr>
          <w:color w:val="auto"/>
        </w:rPr>
        <w:fldChar w:fldCharType="begin"/>
      </w:r>
      <w:r>
        <w:rPr>
          <w:color w:val="auto"/>
        </w:rPr>
        <w:instrText xml:space="preserve"> HYPERLINK "http://jszfcg.jsczt.cn/" \o "http://jszfcg.jsczt.cn/" </w:instrText>
      </w:r>
      <w:r>
        <w:rPr>
          <w:color w:val="auto"/>
        </w:rPr>
        <w:fldChar w:fldCharType="separate"/>
      </w:r>
      <w:r>
        <w:rPr>
          <w:rFonts w:ascii="宋体" w:hAnsi="宋体" w:cs="Arial"/>
          <w:bCs/>
          <w:color w:val="auto"/>
          <w:sz w:val="24"/>
          <w:szCs w:val="24"/>
        </w:rPr>
        <w:t>http://jszfcg.jsczt.cn/</w:t>
      </w:r>
      <w:r>
        <w:rPr>
          <w:rFonts w:ascii="宋体" w:hAnsi="宋体" w:cs="Arial"/>
          <w:bCs/>
          <w:color w:val="auto"/>
          <w:sz w:val="24"/>
          <w:szCs w:val="24"/>
        </w:rPr>
        <w:fldChar w:fldCharType="end"/>
      </w:r>
      <w:r>
        <w:rPr>
          <w:rFonts w:ascii="宋体" w:hAnsi="宋体" w:cs="Arial"/>
          <w:bCs/>
          <w:color w:val="auto"/>
          <w:sz w:val="24"/>
          <w:szCs w:val="24"/>
        </w:rPr>
        <w:t>）相关要求是本招标文件的组成部分。</w:t>
      </w:r>
    </w:p>
    <w:p>
      <w:pPr>
        <w:widowControl/>
        <w:spacing w:line="480" w:lineRule="exact"/>
        <w:ind w:firstLine="480"/>
        <w:jc w:val="left"/>
        <w:rPr>
          <w:rFonts w:ascii="宋体" w:hAnsi="宋体" w:cs="Arial"/>
          <w:bCs/>
          <w:color w:val="auto"/>
          <w:sz w:val="24"/>
          <w:szCs w:val="24"/>
        </w:rPr>
      </w:pPr>
    </w:p>
    <w:p>
      <w:pPr>
        <w:pStyle w:val="21"/>
        <w:spacing w:line="480" w:lineRule="exact"/>
        <w:jc w:val="center"/>
        <w:outlineLvl w:val="0"/>
        <w:rPr>
          <w:rFonts w:hAnsi="宋体" w:cs="宋体"/>
          <w:b/>
          <w:color w:val="auto"/>
          <w:sz w:val="32"/>
          <w:szCs w:val="32"/>
        </w:rPr>
      </w:pPr>
      <w:bookmarkStart w:id="17" w:name="_Toc130206648"/>
      <w:bookmarkStart w:id="18" w:name="_Toc120519611"/>
      <w:r>
        <w:rPr>
          <w:rFonts w:hint="eastAsia" w:hAnsi="宋体" w:cs="宋体"/>
          <w:b/>
          <w:color w:val="auto"/>
          <w:sz w:val="32"/>
          <w:szCs w:val="32"/>
        </w:rPr>
        <w:t>第三章  招标内容及要求</w:t>
      </w:r>
      <w:bookmarkEnd w:id="17"/>
      <w:bookmarkEnd w:id="18"/>
    </w:p>
    <w:p>
      <w:pPr>
        <w:widowControl/>
        <w:spacing w:line="460" w:lineRule="exact"/>
        <w:ind w:firstLine="482"/>
        <w:jc w:val="left"/>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一、项目概况</w:t>
      </w:r>
    </w:p>
    <w:p>
      <w:pPr>
        <w:widowControl/>
        <w:spacing w:line="460" w:lineRule="exact"/>
        <w:ind w:firstLine="480"/>
        <w:jc w:val="left"/>
        <w:rPr>
          <w:rFonts w:hint="eastAsia" w:ascii="宋体" w:hAnsi="宋体" w:cs="宋体" w:eastAsiaTheme="minorEastAsia"/>
          <w:color w:val="auto"/>
          <w:sz w:val="24"/>
          <w:szCs w:val="24"/>
          <w:highlight w:val="yellow"/>
          <w:lang w:eastAsia="zh-CN"/>
        </w:rPr>
      </w:pPr>
      <w:r>
        <w:rPr>
          <w:rFonts w:hint="eastAsia" w:cs="宋体" w:asciiTheme="minorEastAsia" w:hAnsiTheme="minorEastAsia" w:eastAsiaTheme="minorEastAsia"/>
          <w:bCs/>
          <w:color w:val="auto"/>
          <w:sz w:val="24"/>
          <w:szCs w:val="24"/>
        </w:rPr>
        <w:t>详见招标公告</w:t>
      </w:r>
      <w:bookmarkStart w:id="19" w:name="_Toc457309282"/>
      <w:r>
        <w:rPr>
          <w:rFonts w:hint="eastAsia" w:cs="宋体" w:asciiTheme="minorEastAsia" w:hAnsiTheme="minorEastAsia" w:eastAsiaTheme="minorEastAsia"/>
          <w:bCs/>
          <w:color w:val="auto"/>
          <w:sz w:val="24"/>
          <w:szCs w:val="24"/>
          <w:lang w:eastAsia="zh-CN"/>
        </w:rPr>
        <w:t>。</w:t>
      </w:r>
    </w:p>
    <w:bookmarkEnd w:id="19"/>
    <w:p>
      <w:pPr>
        <w:widowControl/>
        <w:spacing w:line="480" w:lineRule="exact"/>
        <w:ind w:firstLine="482"/>
        <w:outlineLvl w:val="1"/>
        <w:rPr>
          <w:rFonts w:ascii="宋体" w:hAnsi="宋体" w:cs="Arial"/>
          <w:b/>
          <w:color w:val="auto"/>
          <w:sz w:val="24"/>
          <w:szCs w:val="24"/>
        </w:rPr>
      </w:pPr>
      <w:r>
        <w:rPr>
          <w:rFonts w:hint="eastAsia" w:cs="宋体" w:asciiTheme="minorEastAsia" w:hAnsiTheme="minorEastAsia" w:eastAsiaTheme="minorEastAsia"/>
          <w:b/>
          <w:color w:val="auto"/>
          <w:sz w:val="24"/>
          <w:szCs w:val="24"/>
          <w:lang w:eastAsia="zh-CN"/>
        </w:rPr>
        <w:t>二</w:t>
      </w:r>
      <w:r>
        <w:rPr>
          <w:rFonts w:hint="eastAsia" w:cs="宋体" w:asciiTheme="minorEastAsia" w:hAnsiTheme="minorEastAsia" w:eastAsiaTheme="minorEastAsia"/>
          <w:b/>
          <w:color w:val="auto"/>
          <w:sz w:val="24"/>
          <w:szCs w:val="24"/>
        </w:rPr>
        <w:t>、</w:t>
      </w:r>
      <w:r>
        <w:rPr>
          <w:rFonts w:hint="eastAsia" w:ascii="宋体" w:hAnsi="宋体" w:cs="Arial"/>
          <w:b/>
          <w:color w:val="auto"/>
          <w:sz w:val="24"/>
          <w:szCs w:val="24"/>
        </w:rPr>
        <w:t>采购清单及参数要求</w:t>
      </w:r>
    </w:p>
    <w:tbl>
      <w:tblPr>
        <w:tblStyle w:val="39"/>
        <w:tblW w:w="4995" w:type="pct"/>
        <w:tblInd w:w="0" w:type="dxa"/>
        <w:tblLayout w:type="autofit"/>
        <w:tblCellMar>
          <w:top w:w="0" w:type="dxa"/>
          <w:left w:w="108" w:type="dxa"/>
          <w:bottom w:w="0" w:type="dxa"/>
          <w:right w:w="108" w:type="dxa"/>
        </w:tblCellMar>
      </w:tblPr>
      <w:tblGrid>
        <w:gridCol w:w="453"/>
        <w:gridCol w:w="1144"/>
        <w:gridCol w:w="6710"/>
        <w:gridCol w:w="456"/>
        <w:gridCol w:w="656"/>
      </w:tblGrid>
      <w:tr>
        <w:tblPrEx>
          <w:tblCellMar>
            <w:top w:w="0" w:type="dxa"/>
            <w:left w:w="108" w:type="dxa"/>
            <w:bottom w:w="0" w:type="dxa"/>
            <w:right w:w="108" w:type="dxa"/>
          </w:tblCellMar>
        </w:tblPrEx>
        <w:trPr>
          <w:trHeight w:val="570" w:hRule="atLeast"/>
        </w:trPr>
        <w:tc>
          <w:tcPr>
            <w:tcW w:w="241"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序号</w:t>
            </w:r>
          </w:p>
        </w:tc>
        <w:tc>
          <w:tcPr>
            <w:tcW w:w="607"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产品类别</w:t>
            </w:r>
          </w:p>
        </w:tc>
        <w:tc>
          <w:tcPr>
            <w:tcW w:w="3561"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参数</w:t>
            </w:r>
          </w:p>
        </w:tc>
        <w:tc>
          <w:tcPr>
            <w:tcW w:w="242"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单位</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数量</w:t>
            </w:r>
          </w:p>
        </w:tc>
      </w:tr>
      <w:tr>
        <w:tblPrEx>
          <w:tblCellMar>
            <w:top w:w="0" w:type="dxa"/>
            <w:left w:w="108" w:type="dxa"/>
            <w:bottom w:w="0" w:type="dxa"/>
            <w:right w:w="108" w:type="dxa"/>
          </w:tblCellMar>
        </w:tblPrEx>
        <w:trPr>
          <w:trHeight w:val="130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lang w:val="en-US" w:eastAsia="zh-CN" w:bidi="ar"/>
              </w:rPr>
            </w:pPr>
            <w:r>
              <w:rPr>
                <w:rFonts w:hint="eastAsia" w:ascii="宋体" w:hAnsi="宋体" w:eastAsia="宋体" w:cs="宋体"/>
                <w:b/>
                <w:bCs/>
                <w:color w:val="auto"/>
                <w:sz w:val="21"/>
                <w:szCs w:val="21"/>
                <w:lang w:val="en-US" w:eastAsia="zh-CN" w:bidi="ar"/>
              </w:rPr>
              <w:t>★</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bidi="ar"/>
              </w:rPr>
              <w:t>54位智能短枪柜</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1．</w:t>
            </w:r>
            <w:r>
              <w:rPr>
                <w:rFonts w:hint="eastAsia" w:ascii="宋体" w:hAnsi="宋体" w:eastAsia="宋体" w:cs="宋体"/>
                <w:sz w:val="21"/>
                <w:szCs w:val="21"/>
              </w:rPr>
              <w:t>柜体要求：柜体采用低碳钢材制作，光洁无毛刺。柜体钢板厚度≥6mm，柜门碳素钢材厚度≥8mm、内侧碳素钢门板厚度≥2mm；抗拉强度须大于345MPA；左右双开门、每门5个门栓、共10门栓、内门铰、镀铬圆形拉手、高强度钢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2．</w:t>
            </w:r>
            <w:r>
              <w:rPr>
                <w:rFonts w:hint="eastAsia" w:ascii="宋体" w:hAnsi="宋体" w:eastAsia="宋体" w:cs="宋体"/>
                <w:sz w:val="21"/>
                <w:szCs w:val="21"/>
              </w:rPr>
              <w:t>柜体结构，箱体对角线误差小于4mm。外结构采用无缝对接，具有防钻、防电焊、防切割、防潮、防腐蚀等功能，柜门开启角度大于90度；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柜门开启采用双人双锁方式；柜门配置电控锁和机械2种开柜方式；当停电或电控锁具故障时，可用备用钥匙开启机械应急锁开柜。正常通电情况下采用双机械钥匙开锁系统会自动报警。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4．</w:t>
            </w:r>
            <w:r>
              <w:rPr>
                <w:rFonts w:hint="eastAsia" w:ascii="宋体" w:hAnsi="宋体" w:eastAsia="宋体" w:cs="宋体"/>
                <w:sz w:val="21"/>
                <w:szCs w:val="21"/>
              </w:rPr>
              <w:t>柜门上</w:t>
            </w:r>
            <w:r>
              <w:rPr>
                <w:rFonts w:hint="eastAsia" w:ascii="宋体" w:hAnsi="宋体" w:eastAsia="宋体" w:cs="宋体"/>
                <w:sz w:val="21"/>
                <w:szCs w:val="21"/>
                <w:lang w:val="zh-CN"/>
              </w:rPr>
              <w:t>显示屏与柜内具有物理隔离防护板保护，材料强度应达到与柜体同等防护级别，防止相关电路故障短路发热等影响枪支弹药安全。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5．</w:t>
            </w:r>
            <w:r>
              <w:rPr>
                <w:rFonts w:hint="eastAsia" w:ascii="宋体" w:hAnsi="宋体" w:eastAsia="宋体" w:cs="宋体"/>
                <w:sz w:val="21"/>
                <w:szCs w:val="21"/>
              </w:rPr>
              <w:t>柜体规格</w:t>
            </w:r>
            <w:r>
              <w:rPr>
                <w:rFonts w:hint="eastAsia" w:ascii="宋体" w:hAnsi="宋体" w:eastAsia="宋体" w:cs="宋体"/>
                <w:sz w:val="21"/>
                <w:szCs w:val="21"/>
                <w:lang w:eastAsia="zh-CN"/>
              </w:rPr>
              <w:t>：</w:t>
            </w:r>
            <w:r>
              <w:rPr>
                <w:rFonts w:hint="eastAsia" w:ascii="宋体" w:hAnsi="宋体" w:eastAsia="宋体" w:cs="宋体"/>
                <w:sz w:val="21"/>
                <w:szCs w:val="21"/>
              </w:rPr>
              <w:t>1800mm×1000mm×500mm±5mm（包含轮脚）；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6．</w:t>
            </w:r>
            <w:r>
              <w:rPr>
                <w:rFonts w:hint="eastAsia" w:ascii="宋体" w:hAnsi="宋体" w:eastAsia="宋体" w:cs="宋体"/>
                <w:sz w:val="21"/>
                <w:szCs w:val="21"/>
              </w:rPr>
              <w:t>表面处理：磷化防锈、静电喷塑处理；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7．</w:t>
            </w:r>
            <w:r>
              <w:rPr>
                <w:rFonts w:hint="eastAsia" w:ascii="宋体" w:hAnsi="宋体" w:eastAsia="宋体" w:cs="宋体"/>
                <w:sz w:val="21"/>
                <w:szCs w:val="21"/>
              </w:rPr>
              <w:t>柜体容量：</w:t>
            </w:r>
            <w:r>
              <w:rPr>
                <w:rFonts w:hint="eastAsia" w:ascii="宋体" w:hAnsi="宋体" w:eastAsia="宋体" w:cs="宋体"/>
                <w:bCs/>
                <w:sz w:val="21"/>
                <w:szCs w:val="21"/>
                <w:lang w:val="en-US" w:eastAsia="zh-CN"/>
              </w:rPr>
              <w:t>定制</w:t>
            </w:r>
            <w:r>
              <w:rPr>
                <w:rFonts w:hint="eastAsia" w:ascii="宋体" w:hAnsi="宋体" w:eastAsia="宋体" w:cs="宋体"/>
                <w:sz w:val="21"/>
                <w:szCs w:val="21"/>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8．</w:t>
            </w:r>
            <w:r>
              <w:rPr>
                <w:rFonts w:hint="eastAsia" w:ascii="宋体" w:hAnsi="宋体" w:eastAsia="宋体" w:cs="宋体"/>
                <w:sz w:val="21"/>
                <w:szCs w:val="21"/>
              </w:rPr>
              <w:t>柜内配置嵌入式主机，采用嵌入式Linux操作系统，柜内嵌入式系统中安装嵌入式枪弹柜管理软件，并配置本柜数据库。</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9．</w:t>
            </w:r>
            <w:r>
              <w:rPr>
                <w:rFonts w:hint="eastAsia" w:ascii="宋体" w:hAnsi="宋体" w:eastAsia="宋体" w:cs="宋体"/>
                <w:sz w:val="21"/>
                <w:szCs w:val="21"/>
              </w:rPr>
              <w:t>≥12寸工业触控屏、分辨率1024×786、具备人机操作界面、人机操作界面可以触摸屏操作；柜内配置嵌入式主机，采用嵌入式Linux操作系统，柜内嵌入式系统中安装嵌入式枪弹柜管理软件，并配置本柜数据库。本柜管理软件应具备枪柜内部系统管理、支持本柜运行信息记录、网络监测、电源检测、系统维护、紧急取枪等功能，并支持断网单柜独立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10．</w:t>
            </w:r>
            <w:r>
              <w:rPr>
                <w:rFonts w:hint="eastAsia" w:ascii="宋体" w:hAnsi="宋体" w:eastAsia="宋体" w:cs="宋体"/>
                <w:sz w:val="21"/>
                <w:szCs w:val="21"/>
                <w:lang w:val="en-US" w:eastAsia="zh-CN"/>
              </w:rPr>
              <w:t>触摸屏功能检验：摸屏采用电容屏、支持多点触控。</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lang w:val="en-US" w:eastAsia="zh-CN"/>
              </w:rPr>
            </w:pPr>
            <w:r>
              <w:rPr>
                <w:rFonts w:hint="default" w:ascii="宋体" w:hAnsi="宋体" w:eastAsia="宋体" w:cs="宋体"/>
                <w:sz w:val="21"/>
                <w:szCs w:val="21"/>
              </w:rPr>
              <w:t>11．</w:t>
            </w:r>
            <w:r>
              <w:rPr>
                <w:rFonts w:hint="eastAsia" w:ascii="宋体" w:hAnsi="宋体" w:eastAsia="宋体" w:cs="宋体"/>
                <w:sz w:val="21"/>
                <w:szCs w:val="21"/>
                <w:lang w:val="en-US" w:eastAsia="zh-CN"/>
              </w:rPr>
              <w:t>节能功能检验:控制终端可在长时间无操作情况下自动黑屏，并在点击触摸屏或检测到人员接近 时自动点亮触摸屏，以便节约能源消耗；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12．</w:t>
            </w:r>
            <w:r>
              <w:rPr>
                <w:rFonts w:hint="eastAsia" w:ascii="宋体" w:hAnsi="宋体" w:eastAsia="宋体" w:cs="宋体"/>
                <w:sz w:val="21"/>
                <w:szCs w:val="21"/>
              </w:rPr>
              <w:t>具备温度检测功能、湿度检测功能，并显示相关信息。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13．</w:t>
            </w:r>
            <w:r>
              <w:rPr>
                <w:rFonts w:hint="eastAsia" w:ascii="宋体" w:hAnsi="宋体" w:eastAsia="宋体" w:cs="宋体"/>
                <w:sz w:val="21"/>
                <w:szCs w:val="21"/>
              </w:rPr>
              <w:t>抓拍功能：领用枪支或有报警产生后，智能柜内置摄像头应能自动进行抓拍，查看日志记录时可显示相应的抓拍图片，抓拍图片分辨率（像素数）为1920×1080；</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14．</w:t>
            </w:r>
            <w:r>
              <w:rPr>
                <w:rFonts w:hint="eastAsia" w:ascii="宋体" w:hAnsi="宋体" w:eastAsia="宋体" w:cs="宋体"/>
                <w:sz w:val="21"/>
                <w:szCs w:val="21"/>
              </w:rPr>
              <w:t>动态二维码：智能柜与服务器断开网络连接线后操作人员可通过柜体的摄像头扫描有效期内的二维码进行验证开柜，有效期过后二维码失效。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15．</w:t>
            </w:r>
            <w:r>
              <w:rPr>
                <w:rFonts w:hint="eastAsia" w:ascii="宋体" w:hAnsi="宋体" w:eastAsia="宋体" w:cs="宋体"/>
                <w:sz w:val="21"/>
                <w:szCs w:val="21"/>
              </w:rPr>
              <w:t>故障诊断界面：智能柜设有故障诊断界面，可通过该界面对系统摄像头，指纹仪，枪锁，子弹</w:t>
            </w:r>
            <w:r>
              <w:rPr>
                <w:rFonts w:hint="eastAsia" w:ascii="宋体" w:hAnsi="宋体" w:eastAsia="宋体" w:cs="宋体"/>
                <w:sz w:val="21"/>
                <w:szCs w:val="21"/>
                <w:lang w:val="en-US" w:eastAsia="zh-CN"/>
              </w:rPr>
              <w:t>抽屉</w:t>
            </w:r>
            <w:r>
              <w:rPr>
                <w:rFonts w:hint="eastAsia" w:ascii="宋体" w:hAnsi="宋体" w:eastAsia="宋体" w:cs="宋体"/>
                <w:sz w:val="21"/>
                <w:szCs w:val="21"/>
              </w:rPr>
              <w:t>等进行检验，具有权限的人员才能进入故障诊断界面。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16．</w:t>
            </w:r>
            <w:r>
              <w:rPr>
                <w:rFonts w:hint="eastAsia" w:ascii="宋体" w:hAnsi="宋体" w:eastAsia="宋体" w:cs="宋体"/>
                <w:sz w:val="21"/>
                <w:szCs w:val="21"/>
              </w:rPr>
              <w:t>柜体自带酒精探测模块，当智能柜内置酒精检测模块检测到的酒精浓度超过20mg/100ml时，触摸式液晶显示屏上软件界面应由枪支领取界面自动返回至主界面。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17．</w:t>
            </w:r>
            <w:r>
              <w:rPr>
                <w:rFonts w:hint="eastAsia" w:ascii="宋体" w:hAnsi="宋体" w:eastAsia="宋体" w:cs="宋体"/>
                <w:sz w:val="21"/>
                <w:szCs w:val="21"/>
                <w:lang w:val="en-US" w:eastAsia="zh-CN"/>
              </w:rPr>
              <w:t>酒精检测方式功能检验；采用吹气式方式，吹气要求持续吹气 3 秒以上；传感器类型电化学型传感器。使用次数不低于2000 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18．</w:t>
            </w:r>
            <w:r>
              <w:rPr>
                <w:rFonts w:hint="eastAsia" w:ascii="宋体" w:hAnsi="宋体" w:eastAsia="宋体" w:cs="宋体"/>
                <w:sz w:val="21"/>
                <w:szCs w:val="21"/>
              </w:rPr>
              <w:t>电容式指纹：用活体指纹识别技术，容量≥500枚，认假率（FAR）0.0001%；拒真率（FRR）0.01%；通讯协议标准UART串口、接口电平TTL、通讯波特率57600bps/115200bps；每人可保存10枚指纹，每次开柜双人以上指纹验证。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19．</w:t>
            </w:r>
            <w:r>
              <w:rPr>
                <w:rFonts w:hint="eastAsia" w:ascii="宋体" w:hAnsi="宋体" w:eastAsia="宋体" w:cs="宋体"/>
                <w:sz w:val="21"/>
                <w:szCs w:val="21"/>
              </w:rPr>
              <w:t>▲</w:t>
            </w:r>
            <w:r>
              <w:rPr>
                <w:rFonts w:hint="eastAsia" w:ascii="宋体" w:hAnsi="宋体" w:eastAsia="宋体" w:cs="宋体"/>
                <w:sz w:val="21"/>
                <w:szCs w:val="21"/>
                <w:lang w:eastAsia="zh-CN"/>
              </w:rPr>
              <w:t>枪弹领用时间设置检验：</w:t>
            </w:r>
            <w:r>
              <w:rPr>
                <w:rFonts w:hint="eastAsia" w:ascii="宋体" w:hAnsi="宋体" w:eastAsia="宋体" w:cs="宋体"/>
                <w:sz w:val="21"/>
                <w:szCs w:val="21"/>
              </w:rPr>
              <w:t>当通过平台软件进行枪支／弹药领用时，领用时间可选择默认时长，也可进行手动调整。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20．</w:t>
            </w:r>
            <w:r>
              <w:rPr>
                <w:rFonts w:hint="eastAsia" w:ascii="宋体" w:hAnsi="宋体" w:eastAsia="宋体" w:cs="宋体"/>
                <w:sz w:val="21"/>
                <w:szCs w:val="21"/>
              </w:rPr>
              <w:t>每人可保存多枚指纹，每次开柜双人以上指纹验证。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21．</w:t>
            </w:r>
            <w:r>
              <w:rPr>
                <w:rFonts w:hint="eastAsia" w:ascii="宋体" w:hAnsi="宋体" w:eastAsia="宋体" w:cs="宋体"/>
                <w:sz w:val="21"/>
                <w:szCs w:val="21"/>
              </w:rPr>
              <w:t>电子枪锁：配置电子感应枪位架及枪位锁，枪位自动感知枪支在位状态，提示正确的取还枪位置；正常情况枪支在位时，枪位锁锁定枪支，枪支不在位时，枪锁保持开启状态；枪位锁配备应急钥匙开启功能。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2" w:firstLineChars="200"/>
              <w:jc w:val="both"/>
              <w:textAlignment w:val="baseline"/>
              <w:rPr>
                <w:rFonts w:hint="eastAsia" w:ascii="宋体" w:hAnsi="宋体" w:eastAsia="宋体" w:cs="宋体"/>
                <w:b/>
                <w:bCs/>
                <w:sz w:val="21"/>
                <w:szCs w:val="21"/>
              </w:rPr>
            </w:pPr>
            <w:r>
              <w:rPr>
                <w:rFonts w:hint="default" w:ascii="宋体" w:hAnsi="宋体" w:eastAsia="宋体" w:cs="宋体"/>
                <w:b/>
                <w:bCs/>
                <w:sz w:val="21"/>
                <w:szCs w:val="21"/>
              </w:rPr>
              <w:t>22．</w:t>
            </w:r>
            <w:r>
              <w:rPr>
                <w:rFonts w:hint="eastAsia" w:ascii="宋体" w:hAnsi="宋体" w:eastAsia="宋体" w:cs="宋体"/>
                <w:sz w:val="21"/>
                <w:szCs w:val="21"/>
                <w:lang w:eastAsia="zh-CN"/>
              </w:rPr>
              <w:t>枪弹领用功能检验：</w:t>
            </w:r>
            <w:r>
              <w:rPr>
                <w:rFonts w:hint="eastAsia" w:ascii="宋体" w:hAnsi="宋体" w:eastAsia="宋体" w:cs="宋体"/>
                <w:sz w:val="21"/>
                <w:szCs w:val="21"/>
                <w:lang w:val="en-US" w:eastAsia="zh-CN"/>
              </w:rPr>
              <w:t>智能柜领用枪支时，</w:t>
            </w:r>
            <w:r>
              <w:rPr>
                <w:rFonts w:hint="eastAsia" w:ascii="宋体" w:hAnsi="宋体" w:eastAsia="宋体" w:cs="宋体"/>
                <w:sz w:val="21"/>
                <w:szCs w:val="21"/>
              </w:rPr>
              <w:t>用枪员只能申请自己权限的枪支，其他人员的枪支不能查看。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23．</w:t>
            </w:r>
            <w:r>
              <w:rPr>
                <w:rFonts w:hint="eastAsia" w:ascii="宋体" w:hAnsi="宋体" w:eastAsia="宋体" w:cs="宋体"/>
                <w:sz w:val="21"/>
                <w:szCs w:val="21"/>
                <w:lang w:eastAsia="zh-CN"/>
              </w:rPr>
              <w:t>▲枪弹领用表单功能检验：可通过平台软件设置并导出枪弹领用表单，内容包括：领用人、审批人、领用任务、实际领取时间、枪支信息、子弹信息，以及领用人和枪管员的签字位置。（需提供国家安全防范报警系统产品质量监督中心或公安部特种警用装备质量监督检验中心出具的检验报告，提供彩色复印件加盖投标公章</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24．</w:t>
            </w:r>
            <w:r>
              <w:rPr>
                <w:rFonts w:hint="eastAsia" w:ascii="宋体" w:hAnsi="宋体" w:eastAsia="宋体" w:cs="宋体"/>
                <w:sz w:val="21"/>
                <w:szCs w:val="21"/>
              </w:rPr>
              <w:t>紧急任务下，可使用“管理员+领导”指纹方式进行一次性全部打开枪锁弹锁。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lang w:eastAsia="zh-CN"/>
              </w:rPr>
              <w:t>25．</w:t>
            </w:r>
            <w:r>
              <w:rPr>
                <w:rFonts w:hint="eastAsia" w:ascii="宋体" w:hAnsi="宋体" w:eastAsia="宋体" w:cs="宋体"/>
                <w:bCs/>
                <w:sz w:val="21"/>
                <w:szCs w:val="21"/>
              </w:rPr>
              <w:t>延时还枪：通过平台软件还枪时可申请延时还枪，延时1次为24h，且需授权人员进行审批，同一还枪任务最多延时2次</w:t>
            </w:r>
            <w:r>
              <w:rPr>
                <w:rFonts w:hint="eastAsia" w:ascii="宋体" w:hAnsi="宋体" w:eastAsia="宋体" w:cs="宋体"/>
                <w:bCs/>
                <w:sz w:val="21"/>
                <w:szCs w:val="21"/>
                <w:lang w:eastAsia="zh-CN"/>
              </w:rPr>
              <w:t>。</w:t>
            </w:r>
            <w:r>
              <w:rPr>
                <w:rFonts w:hint="default" w:ascii="宋体" w:hAnsi="宋体" w:eastAsia="宋体" w:cs="宋体"/>
                <w:sz w:val="21"/>
                <w:szCs w:val="21"/>
              </w:rPr>
              <w:t>26．</w:t>
            </w:r>
            <w:r>
              <w:rPr>
                <w:rFonts w:hint="eastAsia" w:ascii="宋体" w:hAnsi="宋体" w:eastAsia="宋体" w:cs="宋体"/>
                <w:sz w:val="21"/>
                <w:szCs w:val="21"/>
              </w:rPr>
              <w:t>须同时具备指纹识别、人脸识别、电子密码、机械等开启方式。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27．</w:t>
            </w:r>
            <w:r>
              <w:rPr>
                <w:rFonts w:hint="eastAsia" w:ascii="宋体" w:hAnsi="宋体" w:eastAsia="宋体" w:cs="宋体"/>
                <w:sz w:val="21"/>
                <w:szCs w:val="21"/>
              </w:rPr>
              <w:t>柜门紧急处理机械开启方式：双机械钥匙锁应急开锁。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28．</w:t>
            </w:r>
            <w:r>
              <w:rPr>
                <w:rFonts w:hint="eastAsia" w:ascii="宋体" w:hAnsi="宋体" w:eastAsia="宋体" w:cs="宋体"/>
                <w:sz w:val="21"/>
                <w:szCs w:val="21"/>
              </w:rPr>
              <w:t>语音播报：当管理员、枪管员或用枪员身份验证通过后，可自动播报该操作人员的身份和姓名。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29．</w:t>
            </w:r>
            <w:r>
              <w:rPr>
                <w:rFonts w:hint="eastAsia" w:ascii="宋体" w:hAnsi="宋体" w:eastAsia="宋体" w:cs="宋体"/>
                <w:sz w:val="21"/>
                <w:szCs w:val="21"/>
              </w:rPr>
              <w:t>脱机日志记录，保存不少于20000条的最新运行信息记录；所有记录不能人工修改或删除。运行信息存储区记录满后能自动覆盖循环。断电时，系统的基本信息和记录的运行信息不能丢失，保存在控制板中的FLASH存储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30．</w:t>
            </w:r>
            <w:r>
              <w:rPr>
                <w:rFonts w:hint="eastAsia" w:ascii="宋体" w:hAnsi="宋体" w:eastAsia="宋体" w:cs="宋体"/>
                <w:sz w:val="21"/>
                <w:szCs w:val="21"/>
              </w:rPr>
              <w:t>电机锁锁具须使用电机驱动，在额定电压下，锁具启闭瞬间冲击电流应小于或等于5A；锁具持续通电电流应小于或等于500mA；电控枪锁连续通电7s不应损坏；电控锁外壳温度应小于或等于65℃。</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31．</w:t>
            </w:r>
            <w:r>
              <w:rPr>
                <w:rFonts w:hint="eastAsia" w:ascii="宋体" w:hAnsi="宋体" w:eastAsia="宋体" w:cs="宋体"/>
                <w:sz w:val="21"/>
                <w:szCs w:val="21"/>
              </w:rPr>
              <w:t>电机锁锁闭功能应在断电时应保持锁闭状态。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32．</w:t>
            </w:r>
            <w:r>
              <w:rPr>
                <w:rFonts w:hint="eastAsia" w:ascii="宋体" w:hAnsi="宋体" w:eastAsia="宋体" w:cs="宋体"/>
                <w:sz w:val="21"/>
                <w:szCs w:val="21"/>
              </w:rPr>
              <w:t>电机锁的主锁舌再承受大于5000N的侧向静压力后，电机锁应能正常</w:t>
            </w:r>
            <w:r>
              <w:rPr>
                <w:rFonts w:hint="eastAsia" w:ascii="宋体" w:hAnsi="宋体" w:eastAsia="宋体" w:cs="宋体"/>
                <w:sz w:val="21"/>
                <w:szCs w:val="21"/>
                <w:lang w:val="en-US" w:eastAsia="zh-CN"/>
              </w:rPr>
              <w:t>工作</w:t>
            </w:r>
            <w:r>
              <w:rPr>
                <w:rFonts w:hint="eastAsia" w:ascii="宋体" w:hAnsi="宋体" w:eastAsia="宋体" w:cs="宋体"/>
                <w:sz w:val="21"/>
                <w:szCs w:val="21"/>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33．</w:t>
            </w:r>
            <w:r>
              <w:rPr>
                <w:rFonts w:hint="eastAsia" w:ascii="宋体" w:hAnsi="宋体" w:eastAsia="宋体" w:cs="宋体"/>
                <w:sz w:val="21"/>
                <w:szCs w:val="21"/>
              </w:rPr>
              <w:t>报警功能：采用声光报警器，非正常开启柜门报警、断网报警，机械锁开锁报警，智能柜断电报警；关门超时报警，柜门未关好报警。以上报警均要求启动现场声音报警，系统记录报警信息并上传到服务器。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34．</w:t>
            </w:r>
            <w:r>
              <w:rPr>
                <w:rFonts w:hint="eastAsia" w:ascii="宋体" w:hAnsi="宋体" w:eastAsia="宋体" w:cs="宋体"/>
                <w:sz w:val="21"/>
                <w:szCs w:val="21"/>
              </w:rPr>
              <w:t>具备远程联网能力，智能枪弹柜应具有自动校时功能；离线状态下，如有未完成的操作业务可顺利完成操作业务，如没有未完成操作业务，可使用“管理员+领导”指纹方式进行应急开锁，该项操作要求记录日志并待联网后自动上传后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35．</w:t>
            </w:r>
            <w:r>
              <w:rPr>
                <w:rFonts w:hint="eastAsia" w:ascii="宋体" w:hAnsi="宋体" w:eastAsia="宋体" w:cs="宋体"/>
                <w:sz w:val="21"/>
                <w:szCs w:val="21"/>
              </w:rPr>
              <w:t>柜内配置备用电源和市电监测模块，在市电断电时，可即时自动转换备用电源供电，并通过网络报警提示。应能支持系统在市电断开情况下工作8小时。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default" w:ascii="宋体" w:hAnsi="宋体" w:eastAsia="宋体" w:cs="宋体"/>
                <w:sz w:val="21"/>
                <w:szCs w:val="21"/>
                <w:lang w:val="en-US" w:eastAsia="zh-CN"/>
              </w:rPr>
            </w:pPr>
            <w:r>
              <w:rPr>
                <w:rFonts w:hint="default" w:ascii="宋体" w:hAnsi="宋体" w:eastAsia="宋体" w:cs="宋体"/>
                <w:sz w:val="21"/>
                <w:szCs w:val="21"/>
              </w:rPr>
              <w:t>36．</w:t>
            </w:r>
            <w:r>
              <w:rPr>
                <w:rFonts w:hint="eastAsia" w:ascii="宋体" w:hAnsi="宋体" w:eastAsia="宋体" w:cs="宋体"/>
                <w:sz w:val="21"/>
                <w:szCs w:val="21"/>
                <w:lang w:val="en-US" w:eastAsia="zh-CN"/>
              </w:rPr>
              <w:t xml:space="preserve"> 智能柜功效检验：待机≤10w（黑屏、非充电）；正常≤ 20w</w:t>
            </w:r>
            <w:r>
              <w:rPr>
                <w:rFonts w:hint="eastAsia" w:ascii="宋体" w:hAnsi="宋体" w:cs="宋体"/>
                <w:sz w:val="21"/>
                <w:szCs w:val="21"/>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20" w:lineRule="exact"/>
              <w:ind w:firstLine="420" w:firstLineChars="200"/>
              <w:jc w:val="both"/>
              <w:textAlignment w:val="baseline"/>
              <w:rPr>
                <w:rFonts w:hint="eastAsia" w:ascii="宋体" w:hAnsi="宋体" w:eastAsia="宋体" w:cs="宋体"/>
                <w:sz w:val="21"/>
                <w:szCs w:val="21"/>
              </w:rPr>
            </w:pPr>
            <w:r>
              <w:rPr>
                <w:rFonts w:hint="default" w:ascii="宋体" w:hAnsi="宋体" w:eastAsia="宋体" w:cs="宋体"/>
                <w:sz w:val="21"/>
                <w:szCs w:val="21"/>
              </w:rPr>
              <w:t>37．</w:t>
            </w:r>
            <w:r>
              <w:rPr>
                <w:rFonts w:hint="eastAsia" w:ascii="宋体" w:hAnsi="宋体" w:eastAsia="宋体" w:cs="宋体"/>
                <w:sz w:val="21"/>
                <w:szCs w:val="21"/>
              </w:rPr>
              <w:t>电源线应采用保护装置，柜体漏电自动断电。</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rPr>
                <w:rFonts w:hint="eastAsia" w:ascii="宋体" w:hAnsi="宋体" w:eastAsia="宋体" w:cs="宋体"/>
                <w:kern w:val="2"/>
                <w:sz w:val="21"/>
                <w:szCs w:val="21"/>
                <w:lang w:val="zh-CN" w:eastAsia="zh-CN" w:bidi="ar-SA"/>
              </w:rPr>
            </w:pPr>
            <w:r>
              <w:rPr>
                <w:rFonts w:hint="eastAsia" w:ascii="宋体" w:hAnsi="宋体" w:eastAsia="宋体" w:cs="宋体"/>
                <w:sz w:val="21"/>
                <w:szCs w:val="21"/>
              </w:rPr>
              <w:t>外部接口：一路标准网络接口（TCP/IP通信，每台柜分配一个独立IP地址），一路电源220V接口（三插口），一路485通讯控制接口。）</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tblPrEx>
          <w:tblCellMar>
            <w:top w:w="0" w:type="dxa"/>
            <w:left w:w="108" w:type="dxa"/>
            <w:bottom w:w="0" w:type="dxa"/>
            <w:right w:w="108" w:type="dxa"/>
          </w:tblCellMar>
        </w:tblPrEx>
        <w:trPr>
          <w:trHeight w:val="9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bidi="ar"/>
              </w:rPr>
              <w:t>18位智能长枪柜</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体要求：柜体采用低碳钢材制作，光洁无毛刺。柜体钢板厚度≥6mm，柜门碳素钢材厚度≥8mm、内侧碳素钢门板厚度≥2mm；抗拉强度须大于345MPA；左右双开门、每门5个门栓、共10门栓、内门铰、镀铬圆形拉手、高强度钢轮；</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柜体结构，箱体对角线误差小于4mm。外结构采用无缝对接，具有防钻、防电焊、防切割、防潮、防腐蚀等功能，柜门开启角度大于90度；</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柜门开启采用双人双锁方式；柜门配置电控锁和机械2种开柜方式；当停电或电控锁具故障时，可用备用钥匙开启机械应急锁开柜。正常通电情况下采用双机械钥匙开锁系统会自动报警。</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柜门上</w:t>
            </w:r>
            <w:r>
              <w:rPr>
                <w:rFonts w:hint="eastAsia" w:ascii="宋体" w:hAnsi="宋体" w:eastAsia="宋体" w:cs="宋体"/>
                <w:sz w:val="21"/>
                <w:szCs w:val="21"/>
                <w:lang w:val="zh-CN"/>
              </w:rPr>
              <w:t>显示屏与柜内具有物理隔离防护板保护，材料强度应达到与柜体同等防护级别，防止相关电路故障短路发热等影响枪支弹药安全。</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柜体规格</w:t>
            </w:r>
            <w:r>
              <w:rPr>
                <w:rFonts w:hint="eastAsia" w:ascii="宋体" w:hAnsi="宋体" w:eastAsia="宋体" w:cs="宋体"/>
                <w:sz w:val="21"/>
                <w:szCs w:val="21"/>
                <w:lang w:eastAsia="zh-CN"/>
              </w:rPr>
              <w:t>：</w:t>
            </w:r>
            <w:r>
              <w:rPr>
                <w:rFonts w:hint="eastAsia" w:ascii="宋体" w:hAnsi="宋体" w:eastAsia="宋体" w:cs="宋体"/>
                <w:sz w:val="21"/>
                <w:szCs w:val="21"/>
              </w:rPr>
              <w:t>1800mm×1000mm×500mm±5mm（包含轮脚）；</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表面处理：磷化防锈、静电喷塑处理；</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柜体容量：</w:t>
            </w:r>
            <w:r>
              <w:rPr>
                <w:rFonts w:hint="eastAsia" w:ascii="宋体" w:hAnsi="宋体" w:eastAsia="宋体" w:cs="宋体"/>
                <w:bCs/>
                <w:sz w:val="21"/>
                <w:szCs w:val="21"/>
                <w:lang w:val="en-US" w:eastAsia="zh-CN"/>
              </w:rPr>
              <w:t>定制</w:t>
            </w:r>
            <w:r>
              <w:rPr>
                <w:rFonts w:hint="eastAsia" w:ascii="宋体" w:hAnsi="宋体" w:eastAsia="宋体" w:cs="宋体"/>
                <w:sz w:val="21"/>
                <w:szCs w:val="21"/>
              </w:rPr>
              <w:t>。</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柜内配置嵌入式主机，采用嵌入式Linux操作系统，柜内嵌入式系统中安装嵌入式枪弹柜管理软件，并配置本柜数据库。</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12寸工业触控屏、分辨率1024×786、具备人机操作界面、人机操作界面可以触摸屏操作；柜内配置嵌入式主机，采用嵌入式Linux操作系统，柜内嵌入式系统中安装嵌入式枪弹柜管理软件，并配置本柜数据库。本柜管理软件应具备枪柜内部系统管理、支持本柜运行信息记录、网络监测、电源检测、系统维护、紧急取枪等功能，并支持断网单柜独立工作。</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触摸屏功能检验：摸屏采用电容屏、支持多点触控。</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b/>
                <w:bCs/>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节能功能检验:控制终端可在长时间无操作情况下自动黑屏，并在点击触摸屏或检测到人员接近 时自动点亮触摸屏，以便节约能源消耗</w:t>
            </w:r>
            <w:r>
              <w:rPr>
                <w:rFonts w:hint="eastAsia" w:ascii="宋体" w:hAnsi="宋体" w:cs="宋体"/>
                <w:sz w:val="21"/>
                <w:szCs w:val="21"/>
                <w:lang w:val="en-US" w:eastAsia="zh-CN"/>
              </w:rPr>
              <w:t>；</w:t>
            </w:r>
            <w:r>
              <w:rPr>
                <w:rFonts w:hint="eastAsia" w:ascii="宋体" w:hAnsi="宋体" w:eastAsia="宋体" w:cs="宋体"/>
                <w:sz w:val="21"/>
                <w:szCs w:val="21"/>
                <w:lang w:eastAsia="zh-CN"/>
              </w:rPr>
              <w:t>（需提供国家安全防范报警系统产品质量监督中心或公安部特种警用装备质量监督检验中心出具的检验报告，提供彩色复印件加盖投标公章</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具备温度检测功能、湿度检测功能，并显示相关信息。</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抓拍功能：领用枪支或有报警产生后，智能柜内置摄像头应能自动进行抓拍，查看日志记录时可显示相应的抓拍图片，抓拍图片分辨率（像素数）为1920×1080；</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▲动态二维码：智能柜与服务器断开网络连接线后操作人员可通过柜体的摄像头扫描有效期内的二维码进行验证开柜，有效期过后二维码失效。</w:t>
            </w:r>
            <w:r>
              <w:rPr>
                <w:rFonts w:hint="eastAsia" w:ascii="宋体" w:hAnsi="宋体" w:eastAsia="宋体" w:cs="宋体"/>
                <w:sz w:val="21"/>
                <w:szCs w:val="21"/>
                <w:lang w:eastAsia="zh-CN"/>
              </w:rPr>
              <w:t>（需提供国家安全防范报警系统产品质量监督中心或公安部特种警用装备质量监督检验中心出具的检验报告，提供彩色复印件加盖投标公章</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故障诊断界面：智能柜设有故障诊断界面，可通过该界面对系统摄像头，指纹仪，枪锁，子弹</w:t>
            </w:r>
            <w:r>
              <w:rPr>
                <w:rFonts w:hint="eastAsia" w:ascii="宋体" w:hAnsi="宋体" w:eastAsia="宋体" w:cs="宋体"/>
                <w:sz w:val="21"/>
                <w:szCs w:val="21"/>
                <w:lang w:val="en-US" w:eastAsia="zh-CN"/>
              </w:rPr>
              <w:t>抽屉</w:t>
            </w:r>
            <w:r>
              <w:rPr>
                <w:rFonts w:hint="eastAsia" w:ascii="宋体" w:hAnsi="宋体" w:eastAsia="宋体" w:cs="宋体"/>
                <w:sz w:val="21"/>
                <w:szCs w:val="21"/>
              </w:rPr>
              <w:t>等进行检验，具有权限的人员才能进入故障诊断界面。</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柜体自带酒精探测模块，当智能柜内置酒精检测模块检测到的酒精浓度超过20mg/100ml时，触摸式液晶显示屏上软件界面应由枪支领取界面自动返回至主界面。</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酒精检测方式功能检验；采用吹气式方式，吹气要求持续吹气 3 秒以上；传感器类型电化学型传感器。使用次数不低于2000 次。</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电容式指纹：用活体指纹识别技术，容量≥500枚，认假率（FAR）0.0001%；拒真率（FRR）0.01%；通讯协议标准UART串口、接口电平TTL、通讯波特率57600bps/115200bps；每人可保存10枚指纹，每次开柜双人以上指纹验证。</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枪弹领用时间设置检验：</w:t>
            </w:r>
            <w:r>
              <w:rPr>
                <w:rFonts w:hint="eastAsia" w:ascii="宋体" w:hAnsi="宋体" w:eastAsia="宋体" w:cs="宋体"/>
                <w:sz w:val="21"/>
                <w:szCs w:val="21"/>
              </w:rPr>
              <w:t>当通过平台软件进行枪支／弹药领用时，领用时间可选择默认时长，也可进行手动调整。</w:t>
            </w:r>
            <w:r>
              <w:rPr>
                <w:rFonts w:hint="eastAsia" w:ascii="宋体" w:hAnsi="宋体" w:eastAsia="宋体" w:cs="宋体"/>
                <w:sz w:val="21"/>
                <w:szCs w:val="21"/>
                <w:lang w:eastAsia="zh-CN"/>
              </w:rPr>
              <w:t>（需提供国家安全防范报警系统产品质量监督中心或公安部特种警用装备质量监督检验中心出具的检验报告，提供彩色复印件加盖投标公章</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每人可保存多枚指纹，每次开柜双人以上指纹验证。</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电子枪锁：配置电子感应枪位架及枪位锁，枪位自动感知枪支在位状态，提示正确的取还枪位置；正常情况枪支在位时，枪位锁锁定枪支，枪支不在位时，枪锁保持开启状态；枪位锁配备应急钥匙开启功能。</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枪弹领用功能检验：</w:t>
            </w:r>
            <w:r>
              <w:rPr>
                <w:rFonts w:hint="eastAsia" w:ascii="宋体" w:hAnsi="宋体" w:eastAsia="宋体" w:cs="宋体"/>
                <w:sz w:val="21"/>
                <w:szCs w:val="21"/>
                <w:lang w:val="en-US" w:eastAsia="zh-CN"/>
              </w:rPr>
              <w:t>智能柜领用枪支时，</w:t>
            </w:r>
            <w:r>
              <w:rPr>
                <w:rFonts w:hint="eastAsia" w:ascii="宋体" w:hAnsi="宋体" w:eastAsia="宋体" w:cs="宋体"/>
                <w:sz w:val="21"/>
                <w:szCs w:val="21"/>
              </w:rPr>
              <w:t>用枪员只能申请自己权限的枪支，其他人员的枪支不能查看。</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枪弹领用表单功能检验：可通过平台软件设置并导出枪弹领用表单，内容包括：领用人、审批人、领用任务、实际领取时间、枪支信息、子弹信息，以及领用人和枪管员的签字位置。</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紧急任务下，可使用“管理员+领导”指纹方式进行一次性全部打开枪锁弹锁。</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bCs/>
                <w:sz w:val="21"/>
                <w:szCs w:val="21"/>
              </w:rPr>
              <w:t>▲延时还枪：通过平台软件还枪时可申请延时还枪，延时1次为24h，且需授权人员进行审批，同一还枪任务最多延时2次</w:t>
            </w:r>
            <w:r>
              <w:rPr>
                <w:rFonts w:hint="eastAsia" w:ascii="宋体" w:hAnsi="宋体" w:eastAsia="宋体" w:cs="宋体"/>
                <w:bCs/>
                <w:sz w:val="21"/>
                <w:szCs w:val="21"/>
                <w:lang w:eastAsia="zh-CN"/>
              </w:rPr>
              <w:t>。</w:t>
            </w:r>
            <w:r>
              <w:rPr>
                <w:rFonts w:hint="eastAsia" w:ascii="宋体" w:hAnsi="宋体" w:eastAsia="宋体" w:cs="宋体"/>
                <w:sz w:val="21"/>
                <w:szCs w:val="21"/>
              </w:rPr>
              <w:t>须同时具备指纹识别、人脸识别、电子密码、机械等开启方式。</w:t>
            </w:r>
            <w:r>
              <w:rPr>
                <w:rFonts w:hint="eastAsia" w:ascii="宋体" w:hAnsi="宋体" w:eastAsia="宋体" w:cs="宋体"/>
                <w:sz w:val="21"/>
                <w:szCs w:val="21"/>
                <w:lang w:eastAsia="zh-CN"/>
              </w:rPr>
              <w:t>（需提供国家安全防范报警系统产品质量监督中心或公安部特种警用装备质量监督检验中心出具的检验报告，提供彩色复印件加盖投标公章</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柜门紧急处理机械开启方式：双机械钥匙锁应急开锁。</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语音播报：当管理员、枪管员或用枪员身份验证通过后，可自动播报该操作人员的身份和姓名。</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脱机日志记录，保存不少于20000条的最新运行信息记录；所有记录不能人工修改或删除。运行信息存储区记录满后能自动覆盖循环。断电时，系统的基本信息和记录的运行信息不能丢失，保存在控制板中的FLASH存储器。</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电机锁锁具须使用电机驱动，在额定电压下，锁具启闭瞬间冲击电流应小于或等于5A；锁具持续通电电流应小于或等于500mA；电控枪锁连续通电7s不应损坏；电控锁外壳温度应小于或等于65℃。</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电机锁锁闭功能应在断电时应保持锁闭状态。</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电机锁的主锁舌再承受大于5000N的侧向静压力后，电机锁应能正常</w:t>
            </w:r>
            <w:r>
              <w:rPr>
                <w:rFonts w:hint="eastAsia" w:ascii="宋体" w:hAnsi="宋体" w:eastAsia="宋体" w:cs="宋体"/>
                <w:sz w:val="21"/>
                <w:szCs w:val="21"/>
                <w:lang w:val="en-US" w:eastAsia="zh-CN"/>
              </w:rPr>
              <w:t>工作</w:t>
            </w:r>
            <w:r>
              <w:rPr>
                <w:rFonts w:hint="eastAsia" w:ascii="宋体" w:hAnsi="宋体" w:eastAsia="宋体" w:cs="宋体"/>
                <w:sz w:val="21"/>
                <w:szCs w:val="21"/>
              </w:rPr>
              <w:t>。</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报警功能：采用声光报警器，非正常开启柜门报警、断网报警，机械锁开锁报警，智能柜断电报警；关门超时报警，柜门未关好报警。以上报警均要求启动现场声音报警，系统记录报警信息并上传到服务器。</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具备远程联网能力，智能枪弹柜应具有自动校时功能；离线状态下，如有未完成的操作业务可顺利完成操作业务，如没有未完成操作业务，可使用“管理员+领导”指纹方式进行应急开锁，该项操作要求记录日志并待联网后自动上传后台。</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柜内配置备用电源和市电监测模块，在市电断电时，可即时自动转换备用电源供电，并通过网络报警提示。应能支持系统在市电断开情况下工作8小时。</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b/>
                <w:bCs/>
                <w:sz w:val="21"/>
                <w:szCs w:val="21"/>
              </w:rPr>
            </w:pPr>
            <w:r>
              <w:rPr>
                <w:rFonts w:hint="eastAsia" w:ascii="宋体" w:hAnsi="宋体" w:eastAsia="宋体" w:cs="宋体"/>
                <w:sz w:val="21"/>
                <w:szCs w:val="21"/>
                <w:lang w:val="en-US" w:eastAsia="zh-CN"/>
              </w:rPr>
              <w:t>智能柜功效检验：待机≤10w（黑屏、非充电）；正常≤ 20w；</w:t>
            </w:r>
          </w:p>
          <w:p>
            <w:pPr>
              <w:keepNext w:val="0"/>
              <w:keepLines w:val="0"/>
              <w:pageBreakBefore w:val="0"/>
              <w:numPr>
                <w:ilvl w:val="0"/>
                <w:numId w:val="1"/>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电源线应采用保护装置，柜体漏电自动断电。</w:t>
            </w:r>
          </w:p>
          <w:p>
            <w:pPr>
              <w:keepNext w:val="0"/>
              <w:keepLines w:val="0"/>
              <w:pageBreakBefore w:val="0"/>
              <w:numPr>
                <w:ilvl w:val="0"/>
                <w:numId w:val="1"/>
              </w:numPr>
              <w:kinsoku/>
              <w:wordWrap/>
              <w:overflowPunct/>
              <w:topLinePunct w:val="0"/>
              <w:autoSpaceDE/>
              <w:autoSpaceDN/>
              <w:bidi w:val="0"/>
              <w:adjustRightInd/>
              <w:snapToGrid/>
              <w:spacing w:line="320" w:lineRule="exact"/>
              <w:ind w:left="0" w:leftChars="0" w:firstLine="400" w:firstLineChars="0"/>
              <w:jc w:val="both"/>
              <w:rPr>
                <w:rFonts w:hint="eastAsia" w:ascii="宋体" w:hAnsi="宋体" w:eastAsia="宋体" w:cs="宋体"/>
                <w:kern w:val="2"/>
                <w:sz w:val="21"/>
                <w:szCs w:val="21"/>
                <w:lang w:val="zh-CN" w:eastAsia="zh-CN" w:bidi="ar-SA"/>
              </w:rPr>
            </w:pPr>
            <w:r>
              <w:rPr>
                <w:rFonts w:hint="eastAsia" w:ascii="宋体" w:hAnsi="宋体" w:eastAsia="宋体" w:cs="宋体"/>
                <w:sz w:val="21"/>
                <w:szCs w:val="21"/>
              </w:rPr>
              <w:t>外部接口：一路标准网络接口（TCP/IP通信，每台柜分配一个独立IP地址），一路电源220V接口（三插口），一路485通讯控制接口。）</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1</w:t>
            </w:r>
          </w:p>
        </w:tc>
      </w:tr>
      <w:tr>
        <w:tblPrEx>
          <w:tblCellMar>
            <w:top w:w="0" w:type="dxa"/>
            <w:left w:w="108" w:type="dxa"/>
            <w:bottom w:w="0" w:type="dxa"/>
            <w:right w:w="108" w:type="dxa"/>
          </w:tblCellMar>
        </w:tblPrEx>
        <w:trPr>
          <w:trHeight w:val="9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bidi="ar"/>
              </w:rPr>
              <w:t>9位智能长枪柜</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体要求：柜体采用低碳钢材制作，光洁无毛刺。柜体钢板厚度≥6mm，柜门碳素钢材厚度≥8mm、内侧碳素钢门板厚度≥2mm；抗拉强度须大于345MPA；左右双开门、每门5个门栓、共10门栓、内门铰、镀铬圆形拉手、高强度钢轮；</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柜体结构，箱体对角线误差小于4mm。外结构采用无缝对接，具有防钻、防电焊、防切割、防潮、防腐蚀等功能，柜门开启角度大于90度；</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柜门开启采用双人双锁方式；柜门配置电控锁和机械2种开柜方式；当停电或电控锁具故障时，可用备用钥匙开启机械应急锁开柜。正常通电情况下采用双机械钥匙开锁系统会自动报警。</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柜门上</w:t>
            </w:r>
            <w:r>
              <w:rPr>
                <w:rFonts w:hint="eastAsia" w:ascii="宋体" w:hAnsi="宋体" w:eastAsia="宋体" w:cs="宋体"/>
                <w:sz w:val="21"/>
                <w:szCs w:val="21"/>
                <w:lang w:val="zh-CN"/>
              </w:rPr>
              <w:t>显示屏与柜内具有物理隔离防护板保护，材料强度应达到与柜体同等防护级别，防止相关电路故障短路发热等影响枪支弹药安全。</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柜体规格</w:t>
            </w:r>
            <w:r>
              <w:rPr>
                <w:rFonts w:hint="eastAsia" w:ascii="宋体" w:hAnsi="宋体" w:eastAsia="宋体" w:cs="宋体"/>
                <w:sz w:val="21"/>
                <w:szCs w:val="21"/>
                <w:lang w:eastAsia="zh-CN"/>
              </w:rPr>
              <w:t>：</w:t>
            </w:r>
            <w:r>
              <w:rPr>
                <w:rFonts w:hint="eastAsia" w:ascii="宋体" w:hAnsi="宋体" w:eastAsia="宋体" w:cs="宋体"/>
                <w:sz w:val="21"/>
                <w:szCs w:val="21"/>
              </w:rPr>
              <w:t>1800mm×1000mm×500mm±5mm（包含轮脚）；</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表面处理：磷化防锈、静电喷塑处理；</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柜体容量：</w:t>
            </w:r>
            <w:r>
              <w:rPr>
                <w:rFonts w:hint="eastAsia" w:ascii="宋体" w:hAnsi="宋体" w:eastAsia="宋体" w:cs="宋体"/>
                <w:bCs/>
                <w:sz w:val="21"/>
                <w:szCs w:val="21"/>
                <w:lang w:val="en-US" w:eastAsia="zh-CN"/>
              </w:rPr>
              <w:t>定制</w:t>
            </w:r>
            <w:r>
              <w:rPr>
                <w:rFonts w:hint="eastAsia" w:ascii="宋体" w:hAnsi="宋体" w:eastAsia="宋体" w:cs="宋体"/>
                <w:sz w:val="21"/>
                <w:szCs w:val="21"/>
              </w:rPr>
              <w:t>。</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柜内配置嵌入式主机，采用嵌入式Linux操作系统，柜内嵌入式系统中安装嵌入式枪弹柜管理软件，并配置本柜数据库。</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12寸工业触控屏、分辨率1024×786、具备人机操作界面、人机操作界面可以触摸屏操作；柜内配置嵌入式主机，采用嵌入式Linux操作系统，柜内嵌入式系统中安装嵌入式枪弹柜管理软件，并配置本柜数据库。本柜管理软件应具备枪柜内部系统管理、支持本柜运行信息记录、网络监测、电源检测、系统维护、紧急取枪等功能，并支持断网单柜独立工作。</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触摸屏功能检验：摸屏采用电容屏、支持多点触控。</w:t>
            </w:r>
            <w:r>
              <w:rPr>
                <w:rFonts w:hint="eastAsia" w:ascii="宋体" w:hAnsi="宋体" w:eastAsia="宋体" w:cs="宋体"/>
                <w:sz w:val="21"/>
                <w:szCs w:val="21"/>
                <w:lang w:eastAsia="zh-CN"/>
              </w:rPr>
              <w:t>（需提供国家安全防范报警系统产品质量监督中心或公安部特种警用装备质量监督检验中心出具的检验报告，提供彩色复印件加盖投标公章</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节能功能检验:控制终端可在长时间无操作情况下自动黑屏，并在点击触摸屏或检测到人员接近 时自动点亮触摸屏，以便节约能源消耗</w:t>
            </w:r>
            <w:r>
              <w:rPr>
                <w:rFonts w:hint="eastAsia" w:ascii="宋体" w:hAnsi="宋体" w:cs="宋体"/>
                <w:sz w:val="21"/>
                <w:szCs w:val="21"/>
                <w:lang w:val="en-US" w:eastAsia="zh-CN"/>
              </w:rPr>
              <w:t>；</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具备温度检测功能、湿度检测功能，并显示相关信息。</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抓拍功能：领用枪支或有报警产生后，智能柜内置摄像头应能自动进行抓拍，查看日志记录时可显示相应的抓拍图片，抓拍图片分辨率（像素数）为1920×1080；</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动态二维码：智能柜与服务器断开网络连接线后操作人员可通过柜体的摄像头扫描有效期内的二维码进行验证开柜，有效期过后二维码失效。</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故障诊断界面：智能柜设有故障诊断界面，可通过该界面对系统摄像头，指纹仪，枪锁，子弹</w:t>
            </w:r>
            <w:r>
              <w:rPr>
                <w:rFonts w:hint="eastAsia" w:ascii="宋体" w:hAnsi="宋体" w:eastAsia="宋体" w:cs="宋体"/>
                <w:sz w:val="21"/>
                <w:szCs w:val="21"/>
                <w:lang w:val="en-US" w:eastAsia="zh-CN"/>
              </w:rPr>
              <w:t>抽屉</w:t>
            </w:r>
            <w:r>
              <w:rPr>
                <w:rFonts w:hint="eastAsia" w:ascii="宋体" w:hAnsi="宋体" w:eastAsia="宋体" w:cs="宋体"/>
                <w:sz w:val="21"/>
                <w:szCs w:val="21"/>
              </w:rPr>
              <w:t>等进行检验，具有权限的人员才能进入故障诊断界面。</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柜体自带酒精探测模块，当智能柜内置酒精检测模块检测到的酒精浓度超过20mg/100ml时，触摸式液晶显示屏上软件界面应由枪支领取界面自动返回至主界面。</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酒精检测方式功能检验；采用吹气式方式，吹气要求持续吹气 3 秒以上；传感器类型电化学型传感器。使用次数不低于2000 次。</w:t>
            </w:r>
            <w:r>
              <w:rPr>
                <w:rFonts w:hint="eastAsia" w:ascii="宋体" w:hAnsi="宋体" w:eastAsia="宋体" w:cs="宋体"/>
                <w:sz w:val="21"/>
                <w:szCs w:val="21"/>
                <w:lang w:eastAsia="zh-CN"/>
              </w:rPr>
              <w:t>（需提供国家安全防范报警系统产品质量监督中心或公安部特种警用装备质量监督检验中心出具的检验报告，提供彩色复印件加盖投标公章</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电容式指纹：用活体指纹识别技术，容量≥500枚，认假率（FAR）0.0001%；拒真率（FRR）0.01%；通讯协议标准UART串口、接口电平TTL、通讯波特率57600bps/115200bps；每人可保存10枚指纹，每次开柜双人以上指纹验证。</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枪弹领用时间设置检验：</w:t>
            </w:r>
            <w:r>
              <w:rPr>
                <w:rFonts w:hint="eastAsia" w:ascii="宋体" w:hAnsi="宋体" w:eastAsia="宋体" w:cs="宋体"/>
                <w:sz w:val="21"/>
                <w:szCs w:val="21"/>
              </w:rPr>
              <w:t>当通过平台软件进行枪支／弹药领用时，领用时间可选择默认时长，也可进行手动调整。</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每人可保存多枚指纹，每次开柜双人以上指纹验证。</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电子枪锁：配置电子感应枪位架及枪位锁，枪位自动感知枪支在位状态，提示正确的取还枪位置；正常情况枪支在位时，枪位锁锁定枪支，枪支不在位时，枪锁保持开启状态；枪位锁配备应急钥匙开启功能。</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枪弹领用功能检验：</w:t>
            </w:r>
            <w:r>
              <w:rPr>
                <w:rFonts w:hint="eastAsia" w:ascii="宋体" w:hAnsi="宋体" w:eastAsia="宋体" w:cs="宋体"/>
                <w:sz w:val="21"/>
                <w:szCs w:val="21"/>
                <w:lang w:val="en-US" w:eastAsia="zh-CN"/>
              </w:rPr>
              <w:t>智能柜领用枪支时，</w:t>
            </w:r>
            <w:r>
              <w:rPr>
                <w:rFonts w:hint="eastAsia" w:ascii="宋体" w:hAnsi="宋体" w:eastAsia="宋体" w:cs="宋体"/>
                <w:sz w:val="21"/>
                <w:szCs w:val="21"/>
              </w:rPr>
              <w:t>用枪员只能申请自己权限的枪支，其他人员的枪支不能查看。</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枪弹领用表单功能检验：可通过平台软件设置并导出枪弹领用表单，内容包括：领用人、审批人、领用任务、实际领取时间、枪支信息、子弹信息，以及领用人和枪管员的签字位置。</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紧急任务下，可使用“管理员+领导”指纹方式进行一次性全部打开枪锁弹锁。</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lang w:eastAsia="zh-CN"/>
              </w:rPr>
            </w:pPr>
            <w:r>
              <w:rPr>
                <w:rFonts w:hint="eastAsia" w:ascii="宋体" w:hAnsi="宋体" w:eastAsia="宋体" w:cs="宋体"/>
                <w:bCs/>
                <w:sz w:val="21"/>
                <w:szCs w:val="21"/>
              </w:rPr>
              <w:t>延时还枪：通过平台软件还枪时可申请延时还枪，延时1次为24h，且需授权人员进行审批，同一还枪任务最多延时2次</w:t>
            </w:r>
            <w:r>
              <w:rPr>
                <w:rFonts w:hint="eastAsia" w:ascii="宋体" w:hAnsi="宋体" w:eastAsia="宋体" w:cs="宋体"/>
                <w:bCs/>
                <w:sz w:val="21"/>
                <w:szCs w:val="21"/>
                <w:lang w:eastAsia="zh-CN"/>
              </w:rPr>
              <w:t>。</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须同时具备指纹识别、人脸识别、电子密码、机械等开启方式。</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柜门紧急处理机械开启方式：双机械钥匙锁应急开锁。</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语音播报：当管理员、枪管员或用枪员身份验证通过后，可自动播报该操作人员的身份和姓名。</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脱机日志记录，保存不少于20000条的最新运行信息记录；所有记录不能人工修改或删除。运行信息存储区记录满后能自动覆盖循环。断电时，系统的基本信息和记录的运行信息不能丢失，保存在控制板中的FLASH存储器。</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电机锁锁具须使用电机驱动，在额定电压下，锁具启闭瞬间冲击电流应小于或等于5A；锁具持续通电电流应小于或等于500mA；电控枪锁连续通电7s不应损坏；电控锁外壳温度应小于或等于65℃。</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电机锁锁闭功能应在断电时应保持锁闭状态。</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电机锁的主锁舌再承受大于5000N的侧向静压力后，电机锁应能正常</w:t>
            </w:r>
            <w:r>
              <w:rPr>
                <w:rFonts w:hint="eastAsia" w:ascii="宋体" w:hAnsi="宋体" w:eastAsia="宋体" w:cs="宋体"/>
                <w:sz w:val="21"/>
                <w:szCs w:val="21"/>
                <w:lang w:val="en-US" w:eastAsia="zh-CN"/>
              </w:rPr>
              <w:t>工作</w:t>
            </w:r>
            <w:r>
              <w:rPr>
                <w:rFonts w:hint="eastAsia" w:ascii="宋体" w:hAnsi="宋体" w:eastAsia="宋体" w:cs="宋体"/>
                <w:sz w:val="21"/>
                <w:szCs w:val="21"/>
              </w:rPr>
              <w:t>。</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报警功能：采用声光报警器，非正常开启柜门报警、断网报警，机械锁开锁报警，智能柜断电报警；关门超时报警，柜门未关好报警。以上报警均要求启动现场声音报警，系统记录报警信息并上传到服务器。</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具备远程联网能力，智能枪弹柜应具有自动校时功能；离线状态下，如有未完成的操作业务可顺利完成操作业务，如没有未完成操作业务，可使用“管理员+领导”指纹方式进行应急开锁，该项操作要求记录日志并待联网后自动上传后台。</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柜内配置备用电源和市电监测模块，在市电断电时，可即时自动转换备用电源供电，并通过网络报警提示。应能支持系统在市电断开情况下工作8小时。</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智能柜功效检验：待机≤10w（黑屏、非充电）；正常≤ 20w；</w:t>
            </w:r>
            <w:r>
              <w:rPr>
                <w:rFonts w:hint="eastAsia" w:ascii="宋体" w:hAnsi="宋体" w:eastAsia="宋体" w:cs="宋体"/>
                <w:sz w:val="21"/>
                <w:szCs w:val="21"/>
                <w:lang w:eastAsia="zh-CN"/>
              </w:rPr>
              <w:t>（需提供国家安全防范报警系统产品质量监督中心或公安部特种警用装备质量监督检验中心出具的检验报告，提供彩色复印件加盖投标公章</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numPr>
                <w:ilvl w:val="0"/>
                <w:numId w:val="2"/>
              </w:numPr>
              <w:tabs>
                <w:tab w:val="left" w:pos="0"/>
              </w:tabs>
              <w:kinsoku/>
              <w:wordWrap/>
              <w:overflowPunct/>
              <w:topLinePunct w:val="0"/>
              <w:autoSpaceDE/>
              <w:autoSpaceDN/>
              <w:bidi w:val="0"/>
              <w:adjustRightInd/>
              <w:snapToGrid/>
              <w:spacing w:line="320" w:lineRule="exact"/>
              <w:ind w:left="0" w:leftChars="0" w:firstLine="400" w:firstLineChars="0"/>
              <w:jc w:val="both"/>
              <w:textAlignment w:val="baseline"/>
              <w:rPr>
                <w:rFonts w:hint="eastAsia" w:ascii="宋体" w:hAnsi="宋体" w:eastAsia="宋体" w:cs="宋体"/>
                <w:sz w:val="21"/>
                <w:szCs w:val="21"/>
              </w:rPr>
            </w:pPr>
            <w:r>
              <w:rPr>
                <w:rFonts w:hint="eastAsia" w:ascii="宋体" w:hAnsi="宋体" w:eastAsia="宋体" w:cs="宋体"/>
                <w:sz w:val="21"/>
                <w:szCs w:val="21"/>
              </w:rPr>
              <w:t>电源线应采用保护装置，柜体漏电自动断电。</w:t>
            </w:r>
          </w:p>
          <w:p>
            <w:pPr>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00" w:firstLineChars="0"/>
              <w:jc w:val="both"/>
              <w:rPr>
                <w:rFonts w:hint="eastAsia" w:ascii="宋体" w:hAnsi="宋体" w:eastAsia="宋体" w:cs="宋体"/>
                <w:kern w:val="2"/>
                <w:sz w:val="21"/>
                <w:szCs w:val="21"/>
                <w:lang w:val="zh-CN" w:eastAsia="zh-CN" w:bidi="ar-SA"/>
              </w:rPr>
            </w:pPr>
            <w:r>
              <w:rPr>
                <w:rFonts w:hint="eastAsia" w:ascii="宋体" w:hAnsi="宋体" w:eastAsia="宋体" w:cs="宋体"/>
                <w:sz w:val="21"/>
                <w:szCs w:val="21"/>
              </w:rPr>
              <w:t>外部接口：一路标准网络接口（TCP/IP通信，每台柜分配一个独立IP地址），一路电源220V接口（三插口），一路485通讯控制接口。）</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r>
      <w:tr>
        <w:tblPrEx>
          <w:tblCellMar>
            <w:top w:w="0" w:type="dxa"/>
            <w:left w:w="108" w:type="dxa"/>
            <w:bottom w:w="0" w:type="dxa"/>
            <w:right w:w="108" w:type="dxa"/>
          </w:tblCellMar>
        </w:tblPrEx>
        <w:trPr>
          <w:trHeight w:val="239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bidi="ar"/>
              </w:rPr>
              <w:t>12位智能计数弹柜</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体要求：柜体采用低碳钢材制作，光洁无毛刺。柜体钢板厚度≥6mm，柜门碳素钢材厚度≥8mm、内侧碳素钢门板厚度≥2mm；抗拉强度须大于345MPA；左右双开门、每门5个门栓、共10门栓、内门铰、镀铬圆形拉手、高强度钢轮；</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柜体结构，箱体对角线误差小于4mm。外结构采用无缝对接，具有防钻、防电焊、防切割、防潮、防腐蚀等功能，柜门开启角度大于90度；</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柜门开启采用双人双锁方式；柜门配置电控锁和机械2种开柜方式；当停电或电控锁具故障时，可用备用钥匙开启机械应急锁开柜。正常通电情况下采用双机械钥匙开锁系统会自动报警。</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柜门上</w:t>
            </w:r>
            <w:r>
              <w:rPr>
                <w:rFonts w:hint="eastAsia" w:ascii="宋体" w:hAnsi="宋体" w:eastAsia="宋体" w:cs="宋体"/>
                <w:sz w:val="21"/>
                <w:szCs w:val="21"/>
                <w:lang w:val="zh-CN"/>
              </w:rPr>
              <w:t>显示屏与柜内具有物理隔离防护板保护，材料强度应达到与柜体同等防护级别，防止相关电路故障短路发热等影响枪支弹药安全。</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柜体规格</w:t>
            </w:r>
            <w:r>
              <w:rPr>
                <w:rFonts w:hint="eastAsia" w:ascii="宋体" w:hAnsi="宋体" w:eastAsia="宋体" w:cs="宋体"/>
                <w:sz w:val="21"/>
                <w:szCs w:val="21"/>
                <w:lang w:eastAsia="zh-CN"/>
              </w:rPr>
              <w:t>：</w:t>
            </w:r>
            <w:r>
              <w:rPr>
                <w:rFonts w:hint="eastAsia" w:ascii="宋体" w:hAnsi="宋体" w:eastAsia="宋体" w:cs="宋体"/>
                <w:sz w:val="21"/>
                <w:szCs w:val="21"/>
              </w:rPr>
              <w:t>1800mm×1000mm×500mm±5mm（包含轮脚）；</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表面处理：磷化防锈、静电喷塑处理；</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柜体容量：</w:t>
            </w:r>
            <w:r>
              <w:rPr>
                <w:rFonts w:hint="eastAsia" w:ascii="宋体" w:hAnsi="宋体" w:eastAsia="宋体" w:cs="宋体"/>
                <w:bCs/>
                <w:sz w:val="21"/>
                <w:szCs w:val="21"/>
                <w:lang w:val="en-US" w:eastAsia="zh-CN"/>
              </w:rPr>
              <w:t>定制</w:t>
            </w:r>
            <w:r>
              <w:rPr>
                <w:rFonts w:hint="eastAsia" w:ascii="宋体" w:hAnsi="宋体" w:eastAsia="宋体" w:cs="宋体"/>
                <w:sz w:val="21"/>
                <w:szCs w:val="21"/>
              </w:rPr>
              <w:t>。</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柜内配置嵌入式主机，采用嵌入式Linux操作系统，柜内嵌入式系统中安装嵌入式枪弹柜管理软件，并配置本柜数据库。</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12寸工业触控屏、分辨率1024×786、具备人机操作界面、人机操作界面可以触摸屏操作；柜内配置嵌入式主机，采用嵌入式Linux操作系统，柜内嵌入式系统中安装嵌入式枪弹柜管理软件，并配置本柜数据库。本柜管理软件应具备枪柜内部系统管理、支持本柜运行信息记录、网络监测、电源检测、系统维护、紧急取枪等功能，并支持断网单柜独立工作。</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触摸屏功能检验：摸屏采用电容屏、支持多点触控。</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节能功能检验:控制终端可在长时间无操作情况下自动黑屏，并在点击触摸屏或检测到人员接近 时自动点亮触摸屏，以便节约能源消耗</w:t>
            </w:r>
            <w:r>
              <w:rPr>
                <w:rFonts w:hint="eastAsia" w:ascii="宋体" w:hAnsi="宋体" w:cs="宋体"/>
                <w:sz w:val="21"/>
                <w:szCs w:val="21"/>
                <w:lang w:val="en-US" w:eastAsia="zh-CN"/>
              </w:rPr>
              <w:t>；</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具备温度检测功能、湿度检测功能，并显示相关信息。</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抓拍功能：领用枪支或有报警产生后，智能柜内置摄像头应能自动进行抓拍，查看日志记录时可显示相应的抓拍图片，抓拍图片分辨率（像素数）为1920×1080；</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动态二维码：智能柜与服务器断开网络连接线后操作人员可通过柜体的摄像头扫描有效期内的二维码进行验证开柜，有效期过后二维码失效。</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故障诊断界面：智能柜设有故障诊断界面，可通过该界面对系统摄像头，指纹仪，枪锁，子弹</w:t>
            </w:r>
            <w:r>
              <w:rPr>
                <w:rFonts w:hint="eastAsia" w:ascii="宋体" w:hAnsi="宋体" w:eastAsia="宋体" w:cs="宋体"/>
                <w:sz w:val="21"/>
                <w:szCs w:val="21"/>
                <w:lang w:val="en-US" w:eastAsia="zh-CN"/>
              </w:rPr>
              <w:t>抽屉</w:t>
            </w:r>
            <w:r>
              <w:rPr>
                <w:rFonts w:hint="eastAsia" w:ascii="宋体" w:hAnsi="宋体" w:eastAsia="宋体" w:cs="宋体"/>
                <w:sz w:val="21"/>
                <w:szCs w:val="21"/>
              </w:rPr>
              <w:t>等进行检验，具有权限的人员才能进入故障诊断界面。</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柜体自带酒精探测模块，当智能柜内置酒精检测模块检测到的酒精浓度超过20mg/100ml时，触摸式液晶显示屏上软件界面应由枪支领取界面自动返回至主界面。</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酒精检测方式功能检验；采用吹气式方式，吹气要求持续吹气 3 秒以上；传感器类型电化学型传感器。使用次数不低于2000 次。</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电容式指纹：用活体指纹识别技术，容量≥500枚，认假率（FAR）0.0001%；拒真率（FRR）0.01%；通讯协议标准UART串口、接口电平TTL、通讯波特率57600bps/115200bps；每人可保存10枚指纹，每次开柜双人以上指纹验证。</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枪弹领用时间设置检验：</w:t>
            </w:r>
            <w:r>
              <w:rPr>
                <w:rFonts w:hint="eastAsia" w:ascii="宋体" w:hAnsi="宋体" w:eastAsia="宋体" w:cs="宋体"/>
                <w:sz w:val="21"/>
                <w:szCs w:val="21"/>
              </w:rPr>
              <w:t>当通过平台软件进行枪支／弹药领用时，领用时间可选择默认时长，也可进行手动调整。</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每人可保存多枚指纹，每次开柜双人以上指纹验证。</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智能</w:t>
            </w:r>
            <w:r>
              <w:rPr>
                <w:rFonts w:hint="eastAsia" w:ascii="宋体" w:hAnsi="宋体" w:eastAsia="宋体" w:cs="宋体"/>
                <w:sz w:val="21"/>
                <w:szCs w:val="21"/>
                <w:lang w:val="en-US" w:eastAsia="zh-CN"/>
              </w:rPr>
              <w:t>计数子弹抽屉</w:t>
            </w:r>
            <w:r>
              <w:rPr>
                <w:rFonts w:hint="eastAsia" w:ascii="宋体" w:hAnsi="宋体" w:eastAsia="宋体" w:cs="宋体"/>
                <w:sz w:val="21"/>
                <w:szCs w:val="21"/>
              </w:rPr>
              <w:t>：可以适应枪支型号的需求，根据实际使用的子弹种类、数量、保存方式设置数量及功能，正常取、还弹药时指定子弹</w:t>
            </w:r>
            <w:r>
              <w:rPr>
                <w:rFonts w:hint="eastAsia" w:ascii="宋体" w:hAnsi="宋体" w:eastAsia="宋体" w:cs="宋体"/>
                <w:sz w:val="21"/>
                <w:szCs w:val="21"/>
                <w:lang w:val="en-US" w:eastAsia="zh-CN"/>
              </w:rPr>
              <w:t>抽屉</w:t>
            </w:r>
            <w:r>
              <w:rPr>
                <w:rFonts w:hint="eastAsia" w:ascii="宋体" w:hAnsi="宋体" w:eastAsia="宋体" w:cs="宋体"/>
                <w:sz w:val="21"/>
                <w:szCs w:val="21"/>
              </w:rPr>
              <w:t>自动弹开；当取还指定子弹抽屉时，其他子弹抽屉应处于闭锁状态，违规操作将启动报警功能；紧急情况或特殊状态下，一键开启或可用钥匙机械开启子弹</w:t>
            </w:r>
            <w:r>
              <w:rPr>
                <w:rFonts w:hint="eastAsia" w:ascii="宋体" w:hAnsi="宋体" w:eastAsia="宋体" w:cs="宋体"/>
                <w:sz w:val="21"/>
                <w:szCs w:val="21"/>
                <w:lang w:val="en-US" w:eastAsia="zh-CN"/>
              </w:rPr>
              <w:t>抽屉</w:t>
            </w:r>
            <w:r>
              <w:rPr>
                <w:rFonts w:hint="eastAsia" w:ascii="宋体" w:hAnsi="宋体" w:eastAsia="宋体" w:cs="宋体"/>
                <w:sz w:val="21"/>
                <w:szCs w:val="21"/>
              </w:rPr>
              <w:t>。</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枪弹领用表单功能检验：可通过平台软件设置并导出枪弹领用表单，内容包括：领用人、审批人、领用任务、实际领取时间、枪支信息、子弹信息，以及领用人和枪管员的签字位置。</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紧急任务下，可使用“管理员+领导”指纹方式进行一次性全部打开枪锁弹锁。</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子弹过期提醒设置检验：可通过主控器触摸显示屏设置子弹到期时间，并可查看智能柜内存放子弹的到期时间。</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须同时具备指纹识别、人脸识别、电子密码、机械等开启方式。</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柜门紧急处理机械开启方式：双机械钥匙锁应急开锁。</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语音播报：当管理员、枪管员或用枪员身份验证通过后，可自动播报该操作人员的身份和姓名。</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脱机日志记录，保存不少于20000条的最新运行信息记录；所有记录不能人工修改或删除。运行信息存储区记录满后能自动覆盖循环。断电时，系统的基本信息和记录的运行信息不能丢失，保存在控制板中的FLASH存储器。</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电机锁锁具须使用电机驱动，在额定电压下，锁具启闭瞬间冲击电流应小于或等于5A；锁具持续通电电流应小于或等于500mA；电控枪锁连续通电7s不应损坏；电控锁外壳温度应小于或等于65℃。</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电机锁锁闭功能应在断电时应保持锁闭状态。</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电机锁的主锁舌再承受大于5000N的侧向静压力后，电机锁应能正常</w:t>
            </w:r>
            <w:r>
              <w:rPr>
                <w:rFonts w:hint="eastAsia" w:ascii="宋体" w:hAnsi="宋体" w:eastAsia="宋体" w:cs="宋体"/>
                <w:sz w:val="21"/>
                <w:szCs w:val="21"/>
                <w:lang w:val="en-US" w:eastAsia="zh-CN"/>
              </w:rPr>
              <w:t>工作</w:t>
            </w:r>
            <w:r>
              <w:rPr>
                <w:rFonts w:hint="eastAsia" w:ascii="宋体" w:hAnsi="宋体" w:eastAsia="宋体" w:cs="宋体"/>
                <w:sz w:val="21"/>
                <w:szCs w:val="21"/>
              </w:rPr>
              <w:t>。</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报警功能：采用声光报警器，非正常开启柜门报警、断网报警，机械锁开锁报警，智能柜断电报警；关门超时报警，柜门未关好报警。以上报警均要求启动现场声音报警，系统记录报警信息并上传到服务器。</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具备远程联网能力，智能枪弹柜应具有自动校时功能；离线状态下，如有未完成的操作业务可顺利完成操作业务，如没有未完成操作业务，可使用“管理员+领导”指纹方式进行应急开锁，该项操作要求记录日志并待联网后自动上传后台。</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柜内配置备用电源和市电监测模块，在市电断电时，可即时自动转换备用电源供电，并通过网络报警提示。应能支持系统在市电断开情况下工作8小时。</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 智能柜功效检验：待机≤10w（黑屏、非充电）；正常≤ 20w；</w:t>
            </w:r>
          </w:p>
          <w:p>
            <w:pPr>
              <w:keepNext w:val="0"/>
              <w:keepLines w:val="0"/>
              <w:pageBreakBefore w:val="0"/>
              <w:numPr>
                <w:ilvl w:val="0"/>
                <w:numId w:val="3"/>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电源线应采用保护装置，柜体漏电自动断电。</w:t>
            </w:r>
          </w:p>
          <w:p>
            <w:pPr>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40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外部接口：一路标准网络接口（TCP/IP通信，每台柜分配一个独立IP地址），一路电源220V接口（三插口），一路485通讯控制接口。）</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r>
      <w:tr>
        <w:tblPrEx>
          <w:tblCellMar>
            <w:top w:w="0" w:type="dxa"/>
            <w:left w:w="108" w:type="dxa"/>
            <w:bottom w:w="0" w:type="dxa"/>
            <w:right w:w="108" w:type="dxa"/>
          </w:tblCellMar>
        </w:tblPrEx>
        <w:trPr>
          <w:trHeight w:val="736"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bidi="ar"/>
              </w:rPr>
              <w:t>智能整箱弹柜</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体要求：柜体采用低碳钢材制作，光洁无毛刺。柜体钢板厚度≥6mm，柜门碳素钢材厚度≥8mm、内侧碳素钢门板厚度≥2mm；抗拉强度须大于345MPA；左右双开门、每门5个门栓、共10门栓、内门铰、镀铬圆形拉手、高强度钢轮；</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柜体结构，箱体对角线误差小于4mm。外结构采用无缝对接，具有防钻、防电焊、防切割、防潮、防腐蚀等功能，柜门开启角度大于90度；</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柜门开启采用双人双锁方式；柜门配置电控锁和机械2种开柜方式；当停电或电控锁具故障时，可用备用钥匙开启机械应急锁开柜。正常通电情况下采用双机械钥匙开锁系统会自动报警。</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柜门上</w:t>
            </w:r>
            <w:r>
              <w:rPr>
                <w:rFonts w:hint="eastAsia" w:ascii="宋体" w:hAnsi="宋体" w:eastAsia="宋体" w:cs="宋体"/>
                <w:sz w:val="21"/>
                <w:szCs w:val="21"/>
                <w:lang w:val="zh-CN"/>
              </w:rPr>
              <w:t>显示屏与柜内具有物理隔离防护板保护，材料强度应达到与柜体同等防护级别，防止相关电路故障短路发热等影响枪支弹药安全。</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柜体规格</w:t>
            </w:r>
            <w:r>
              <w:rPr>
                <w:rFonts w:hint="eastAsia" w:ascii="宋体" w:hAnsi="宋体" w:eastAsia="宋体" w:cs="宋体"/>
                <w:sz w:val="21"/>
                <w:szCs w:val="21"/>
                <w:lang w:eastAsia="zh-CN"/>
              </w:rPr>
              <w:t>：</w:t>
            </w:r>
            <w:r>
              <w:rPr>
                <w:rFonts w:hint="eastAsia" w:ascii="宋体" w:hAnsi="宋体" w:eastAsia="宋体" w:cs="宋体"/>
                <w:sz w:val="21"/>
                <w:szCs w:val="21"/>
              </w:rPr>
              <w:t>1800mm×1000mm×500mm±5mm（包含轮脚）；</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表面处理：磷化防锈、静电喷塑处理；</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柜体容量：</w:t>
            </w:r>
            <w:r>
              <w:rPr>
                <w:rFonts w:hint="eastAsia" w:ascii="宋体" w:hAnsi="宋体" w:eastAsia="宋体" w:cs="宋体"/>
                <w:bCs/>
                <w:sz w:val="21"/>
                <w:szCs w:val="21"/>
                <w:lang w:val="en-US" w:eastAsia="zh-CN"/>
              </w:rPr>
              <w:t>定制</w:t>
            </w:r>
            <w:r>
              <w:rPr>
                <w:rFonts w:hint="eastAsia" w:ascii="宋体" w:hAnsi="宋体" w:eastAsia="宋体" w:cs="宋体"/>
                <w:sz w:val="21"/>
                <w:szCs w:val="21"/>
              </w:rPr>
              <w:t>。</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柜内配置嵌入式主机，采用嵌入式Linux操作系统，柜内嵌入式系统中安装嵌入式枪弹柜管理软件，并配置本柜数据库。</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12寸工业触控屏、分辨率1024×786、具备人机操作界面、人机操作界面可以触摸屏操作；柜内配置嵌入式主机，采用嵌入式Linux操作系统，柜内嵌入式系统中安装嵌入式枪弹柜管理软件，并配置本柜数据库。本柜管理软件应具备枪柜内部系统管理、支持本柜运行信息记录、网络监测、电源检测、系统维护、紧急取枪等功能，并支持断网单柜独立工作。</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触摸屏功能检验：摸屏采用电容屏、支持多点触控。</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节能功能检验:控制终端可在长时间无操作情况下自动黑屏，并在点击触摸屏或检测到人员接近 时自动点亮触摸屏，以便节约能源消耗</w:t>
            </w:r>
            <w:r>
              <w:rPr>
                <w:rFonts w:hint="eastAsia" w:ascii="宋体" w:hAnsi="宋体" w:cs="宋体"/>
                <w:sz w:val="21"/>
                <w:szCs w:val="21"/>
                <w:lang w:val="en-US" w:eastAsia="zh-CN"/>
              </w:rPr>
              <w:t>；</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具备温度检测功能、湿度检测功能，并显示相关信息。</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抓拍功能：领用枪支或有报警产生后，智能柜内置摄像头应能自动进行抓拍，查看日志记录时可显示相应的抓拍图片，抓拍图片分辨率（像素数）为1920×1080；</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动态二维码：智能柜与服务器断开网络连接线后操作人员可通过柜体的摄像头扫描有效期内的二维码进行验证开柜，有效期过后二维码失效。</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故障诊断界面：智能柜设有故障诊断界面，可通过该界面对系统摄像头，指纹仪，枪锁，子弹</w:t>
            </w:r>
            <w:r>
              <w:rPr>
                <w:rFonts w:hint="eastAsia" w:ascii="宋体" w:hAnsi="宋体" w:eastAsia="宋体" w:cs="宋体"/>
                <w:sz w:val="21"/>
                <w:szCs w:val="21"/>
                <w:lang w:val="en-US" w:eastAsia="zh-CN"/>
              </w:rPr>
              <w:t>抽屉</w:t>
            </w:r>
            <w:r>
              <w:rPr>
                <w:rFonts w:hint="eastAsia" w:ascii="宋体" w:hAnsi="宋体" w:eastAsia="宋体" w:cs="宋体"/>
                <w:sz w:val="21"/>
                <w:szCs w:val="21"/>
              </w:rPr>
              <w:t>等进行检验，具有权限的人员才能进入故障诊断界面。</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柜体自带酒精探测模块，当智能柜内置酒精检测模块检测到的酒精浓度超过20mg/100ml时，触摸式液晶显示屏上软件界面应由枪支领取界面自动返回至主界面。</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酒精检测方式功能检验；采用吹气式方式，吹气要求持续吹气 3 秒以上；传感器类型电化学型传感器。使用次数不低于2000 次。</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电容式指纹：用活体指纹识别技术，容量≥500枚，认假率（FAR）0.0001%；拒真率（FRR）0.01%；通讯协议标准UART串口、接口电平TTL、通讯波特率57600bps/115200bps；每人可保存10枚指纹，每次开柜双人以上指纹验证。</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枪弹领用时间设置检验：</w:t>
            </w:r>
            <w:r>
              <w:rPr>
                <w:rFonts w:hint="eastAsia" w:ascii="宋体" w:hAnsi="宋体" w:eastAsia="宋体" w:cs="宋体"/>
                <w:sz w:val="21"/>
                <w:szCs w:val="21"/>
              </w:rPr>
              <w:t>当通过平台软件进行枪支／弹药领用时，领用时间可选择默认时长，也可进行手动调整。</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每人可保存多枚指纹，每次开柜双人以上指纹验证。</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枪弹领用表单功能检验：可通过平台软件设置并导出枪弹领用表单，内容包括：领用人、审批人、领用任务、实际领取时间、枪支信息、子弹信息，以及领用人和枪管员的签字位置。</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紧急任务下，可使用“管理员+领导”指纹方式进行一次性全部打开枪锁弹锁。</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子弹过期提醒设置检验：可通过主控器触摸显示屏设置子弹到期时间，并可查看智能柜内存放子弹的到期时间。</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须同时具备指纹识别、人脸识别、电子密码、机械等开启方式。</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柜门紧急处理机械开启方式：双机械钥匙锁应急开锁。</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语音播报：当管理员、枪管员或用枪员身份验证通过后，可自动播报该操作人员的身份和姓名。</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脱机日志记录，保存不少于20000条的最新运行信息记录；所有记录不能人工修改或删除。运行信息存储区记录满后能自动覆盖循环。断电时，系统的基本信息和记录的运行信息不能丢失，保存在控制板中的FLASH存储器。</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电机锁锁具须使用电机驱动，在额定电压下，锁具启闭瞬间冲击电流应小于或等于5A；锁具持续通电电流应小于或等于500mA；电控枪锁连续通电7s不应损坏；电控锁外壳温度应小于或等于65℃。</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电机锁锁闭功能应在断电时应保持锁闭状态。</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电机锁的主锁舌再承受大于5000N的侧向静压力后，电机锁应能正常</w:t>
            </w:r>
            <w:r>
              <w:rPr>
                <w:rFonts w:hint="eastAsia" w:ascii="宋体" w:hAnsi="宋体" w:eastAsia="宋体" w:cs="宋体"/>
                <w:sz w:val="21"/>
                <w:szCs w:val="21"/>
                <w:lang w:val="en-US" w:eastAsia="zh-CN"/>
              </w:rPr>
              <w:t>工作</w:t>
            </w:r>
            <w:r>
              <w:rPr>
                <w:rFonts w:hint="eastAsia" w:ascii="宋体" w:hAnsi="宋体" w:eastAsia="宋体" w:cs="宋体"/>
                <w:sz w:val="21"/>
                <w:szCs w:val="21"/>
              </w:rPr>
              <w:t>。</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报警功能：采用声光报警器，非正常开启柜门报警、断网报警，机械锁开锁报警，智能柜断电报警；关门超时报警，柜门未关好报警。以上报警均要求启动现场声音报警，系统记录报警信息并上传到服务器。</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具备远程联网能力，智能枪弹柜应具有自动校时功能；离线状态下，如有未完成的操作业务可顺利完成操作业务，如没有未完成操作业务，可使用“管理员+领导”指纹方式进行应急开锁，该项操作要求记录日志并待联网后自动上传后台。</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柜内配置备用电源和市电监测模块，在市电断电时，可即时自动转换备用电源供电，并通过网络报警提示。应能支持系统在市电断开情况下工作8小时。</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 智能柜功效检验：待机≤10w（黑屏、非充电）；正常≤ 20w；</w:t>
            </w:r>
          </w:p>
          <w:p>
            <w:pPr>
              <w:keepNext w:val="0"/>
              <w:keepLines w:val="0"/>
              <w:pageBreakBefore w:val="0"/>
              <w:numPr>
                <w:ilvl w:val="0"/>
                <w:numId w:val="4"/>
              </w:numPr>
              <w:tabs>
                <w:tab w:val="left" w:pos="0"/>
              </w:tabs>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sz w:val="21"/>
                <w:szCs w:val="21"/>
              </w:rPr>
            </w:pPr>
            <w:r>
              <w:rPr>
                <w:rFonts w:hint="eastAsia" w:ascii="宋体" w:hAnsi="宋体" w:eastAsia="宋体" w:cs="宋体"/>
                <w:sz w:val="21"/>
                <w:szCs w:val="21"/>
              </w:rPr>
              <w:t>电源线应采用保护装置，柜体漏电自动断电。</w:t>
            </w:r>
          </w:p>
          <w:p>
            <w:pPr>
              <w:keepNext w:val="0"/>
              <w:keepLines w:val="0"/>
              <w:pageBreakBefore w:val="0"/>
              <w:numPr>
                <w:ilvl w:val="0"/>
                <w:numId w:val="4"/>
              </w:numPr>
              <w:kinsoku/>
              <w:wordWrap/>
              <w:overflowPunct/>
              <w:topLinePunct w:val="0"/>
              <w:autoSpaceDE/>
              <w:autoSpaceDN/>
              <w:bidi w:val="0"/>
              <w:adjustRightInd/>
              <w:snapToGrid/>
              <w:spacing w:line="320" w:lineRule="exact"/>
              <w:ind w:left="0" w:leftChars="0" w:firstLine="400" w:firstLineChars="0"/>
              <w:jc w:val="left"/>
              <w:rPr>
                <w:rFonts w:hint="eastAsia" w:ascii="宋体" w:hAnsi="宋体" w:eastAsia="宋体" w:cs="宋体"/>
                <w:color w:val="auto"/>
                <w:kern w:val="2"/>
                <w:sz w:val="21"/>
                <w:szCs w:val="21"/>
                <w:lang w:val="zh-CN" w:eastAsia="zh-CN" w:bidi="ar-SA"/>
              </w:rPr>
            </w:pPr>
            <w:r>
              <w:rPr>
                <w:rFonts w:hint="eastAsia" w:ascii="宋体" w:hAnsi="宋体" w:eastAsia="宋体" w:cs="宋体"/>
                <w:sz w:val="21"/>
                <w:szCs w:val="21"/>
              </w:rPr>
              <w:t>外部接口：一路标准网络接口（TCP/IP通信，每台柜分配一个独立IP地址），一路电源220V接口（三插口），一路485通讯控制接口。）</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3</w:t>
            </w:r>
          </w:p>
        </w:tc>
      </w:tr>
      <w:tr>
        <w:tblPrEx>
          <w:tblCellMar>
            <w:top w:w="0" w:type="dxa"/>
            <w:left w:w="108" w:type="dxa"/>
            <w:bottom w:w="0" w:type="dxa"/>
            <w:right w:w="108" w:type="dxa"/>
          </w:tblCellMar>
        </w:tblPrEx>
        <w:trPr>
          <w:trHeight w:val="551"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智能枪弹柜</w:t>
            </w:r>
            <w:r>
              <w:rPr>
                <w:rFonts w:hint="eastAsia" w:ascii="宋体" w:hAnsi="宋体" w:eastAsia="宋体" w:cs="宋体"/>
                <w:b/>
                <w:bCs/>
                <w:color w:val="auto"/>
                <w:sz w:val="21"/>
                <w:szCs w:val="21"/>
                <w:lang w:eastAsia="zh-CN" w:bidi="ar"/>
              </w:rPr>
              <w:t>综合</w:t>
            </w:r>
            <w:r>
              <w:rPr>
                <w:rFonts w:hint="eastAsia" w:ascii="宋体" w:hAnsi="宋体" w:eastAsia="宋体" w:cs="宋体"/>
                <w:b/>
                <w:bCs/>
                <w:color w:val="auto"/>
                <w:sz w:val="21"/>
                <w:szCs w:val="21"/>
                <w:lang w:bidi="ar"/>
              </w:rPr>
              <w:t>管理系统</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left"/>
              <w:textAlignment w:val="baseline"/>
              <w:rPr>
                <w:rFonts w:hint="eastAsia" w:ascii="宋体" w:hAnsi="宋体" w:eastAsia="宋体" w:cs="宋体"/>
                <w:bCs/>
                <w:sz w:val="21"/>
                <w:szCs w:val="21"/>
              </w:rPr>
            </w:pPr>
            <w:r>
              <w:rPr>
                <w:rFonts w:hint="eastAsia" w:ascii="宋体" w:hAnsi="宋体" w:eastAsia="宋体" w:cs="宋体"/>
                <w:bCs/>
                <w:sz w:val="21"/>
                <w:szCs w:val="21"/>
              </w:rPr>
              <w:t>智能枪柜管理系统须具有完整的网络管理模式，实现与公安网、枪弹管理系统对接和集成。符合公安部《GA1051-2013》枪支弹药专用保险柜标准。</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bCs/>
                <w:sz w:val="21"/>
                <w:szCs w:val="21"/>
              </w:rPr>
            </w:pPr>
            <w:r>
              <w:rPr>
                <w:rFonts w:hint="eastAsia" w:ascii="宋体" w:hAnsi="宋体" w:eastAsia="宋体" w:cs="宋体"/>
                <w:bCs/>
                <w:sz w:val="21"/>
                <w:szCs w:val="21"/>
              </w:rPr>
              <w:t>智能管理软件要包括三个方面的内容：一是Web应用服务层，二是前台监控中心，三是数据库服务。登录要求认证，数据传输要求加密。系统要建立在公安网的载体上，可分为前台管理系统、数据维护管理系统和监控后台管理系统、应用服务器、数据服务器。警员与枪弹资料管理，用户权限管理，枪械使用审批管理等智能化管理的二级管控平台.管理系统包括的基本功能模块有：警员基本信息管理、警员持枪管理、在线领枪申请、在线领枪审批、超时还枪信息管理、枪弹基本信息管理、枪弹使用信息查询、枪弹维护保养管理、枪弹库存信息统计、枪弹使用信息统计、枪弹维护保养统计、枪弹信息管理、系统日志管理、部门信息管理。可根据需求定制。</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bCs/>
                <w:sz w:val="21"/>
                <w:szCs w:val="21"/>
              </w:rPr>
            </w:pPr>
            <w:r>
              <w:rPr>
                <w:rFonts w:hint="eastAsia" w:ascii="宋体" w:hAnsi="宋体" w:eastAsia="宋体" w:cs="宋体"/>
                <w:bCs/>
                <w:sz w:val="21"/>
                <w:szCs w:val="21"/>
              </w:rPr>
              <w:t>可以在柜子终端或者联网的电脑WEB申请、审批和查看。</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bCs/>
                <w:sz w:val="21"/>
                <w:szCs w:val="21"/>
              </w:rPr>
            </w:pPr>
            <w:r>
              <w:rPr>
                <w:rFonts w:hint="eastAsia" w:ascii="宋体" w:hAnsi="宋体" w:eastAsia="宋体" w:cs="宋体"/>
                <w:bCs/>
                <w:sz w:val="21"/>
                <w:szCs w:val="21"/>
              </w:rPr>
              <w:t>人员权限可以自定义分配。上一级部门的管理员可以查看和修改下一级的部门，下一级部门的人员不可以逆向访问上一级。</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bCs/>
                <w:sz w:val="21"/>
                <w:szCs w:val="21"/>
              </w:rPr>
            </w:pPr>
            <w:r>
              <w:rPr>
                <w:rFonts w:hint="eastAsia" w:ascii="宋体" w:hAnsi="宋体" w:eastAsia="宋体" w:cs="宋体"/>
                <w:bCs/>
                <w:sz w:val="21"/>
                <w:szCs w:val="21"/>
              </w:rPr>
              <w:t>具有枪柜异常声光电报警。报警可以分三级权限，按等级依次报警。报警需要有权限的人才能解除。</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bCs/>
                <w:sz w:val="21"/>
                <w:szCs w:val="21"/>
              </w:rPr>
            </w:pPr>
            <w:r>
              <w:rPr>
                <w:rFonts w:hint="eastAsia" w:ascii="宋体" w:hAnsi="宋体" w:eastAsia="宋体" w:cs="宋体"/>
                <w:bCs/>
                <w:sz w:val="21"/>
                <w:szCs w:val="21"/>
              </w:rPr>
              <w:t>软件具有登录和拿枪、取枪时抓拍功能，抓拍的图像可以导出来查询。</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bCs/>
                <w:sz w:val="21"/>
                <w:szCs w:val="21"/>
              </w:rPr>
            </w:pPr>
            <w:r>
              <w:rPr>
                <w:rFonts w:hint="eastAsia" w:ascii="宋体" w:hAnsi="宋体" w:eastAsia="宋体" w:cs="宋体"/>
                <w:bCs/>
                <w:sz w:val="21"/>
                <w:szCs w:val="21"/>
              </w:rPr>
              <w:t>人员的操作日记也可以导出来备份和查询。</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保养提醒设置检验：</w:t>
            </w:r>
            <w:r>
              <w:rPr>
                <w:rFonts w:hint="eastAsia" w:ascii="宋体" w:hAnsi="宋体" w:eastAsia="宋体" w:cs="宋体"/>
                <w:bCs/>
                <w:sz w:val="21"/>
                <w:szCs w:val="21"/>
              </w:rPr>
              <w:t>当智能柜中的枪支超过三个月无领用记录时，可通过平台软件向特定人员推送保养提醒信息。</w:t>
            </w:r>
            <w:r>
              <w:rPr>
                <w:rFonts w:hint="eastAsia" w:ascii="宋体" w:hAnsi="宋体" w:eastAsia="宋体" w:cs="宋体"/>
                <w:sz w:val="21"/>
                <w:szCs w:val="21"/>
                <w:lang w:eastAsia="zh-CN"/>
              </w:rPr>
              <w:t>（需提供国家安全防范报警系统产品质量监督中心或公安部特种警用装备质量监督检验中心出具的检验报告，提供彩色复印件加盖投标公章。</w:t>
            </w:r>
            <w:r>
              <w:rPr>
                <w:rFonts w:hint="eastAsia" w:ascii="宋体" w:hAnsi="宋体" w:eastAsia="宋体" w:cs="宋体"/>
                <w:sz w:val="21"/>
                <w:szCs w:val="21"/>
                <w:lang w:val="en-US" w:eastAsia="zh-CN"/>
              </w:rPr>
              <w:t>)</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eastAsia="zh-CN"/>
              </w:rPr>
              <w:t>平台背景设置检验：</w:t>
            </w:r>
            <w:r>
              <w:rPr>
                <w:rFonts w:hint="eastAsia" w:ascii="宋体" w:hAnsi="宋体" w:eastAsia="宋体" w:cs="宋体"/>
                <w:bCs/>
                <w:sz w:val="21"/>
                <w:szCs w:val="21"/>
              </w:rPr>
              <w:t>可通过平台软件设置登录界面的背景颜色，并可切换。</w:t>
            </w:r>
          </w:p>
          <w:p>
            <w:pPr>
              <w:keepNext w:val="0"/>
              <w:keepLines w:val="0"/>
              <w:pageBreakBefore w:val="0"/>
              <w:numPr>
                <w:ilvl w:val="0"/>
                <w:numId w:val="5"/>
              </w:numPr>
              <w:kinsoku/>
              <w:wordWrap/>
              <w:overflowPunct/>
              <w:topLinePunct w:val="0"/>
              <w:autoSpaceDE/>
              <w:autoSpaceDN/>
              <w:bidi w:val="0"/>
              <w:adjustRightInd/>
              <w:snapToGrid/>
              <w:spacing w:line="320" w:lineRule="exact"/>
              <w:ind w:left="0" w:leftChars="0" w:firstLine="400" w:firstLineChars="0"/>
              <w:jc w:val="left"/>
              <w:textAlignment w:val="baseline"/>
              <w:rPr>
                <w:rFonts w:hint="eastAsia" w:ascii="宋体" w:hAnsi="宋体" w:eastAsia="宋体" w:cs="宋体"/>
                <w:bCs/>
                <w:sz w:val="21"/>
                <w:szCs w:val="21"/>
              </w:rPr>
            </w:pPr>
            <w:r>
              <w:rPr>
                <w:rFonts w:hint="eastAsia" w:ascii="宋体" w:hAnsi="宋体" w:eastAsia="宋体" w:cs="宋体"/>
                <w:bCs/>
                <w:sz w:val="21"/>
                <w:szCs w:val="21"/>
              </w:rPr>
              <w:t>▲报警信息统计功能检验：可通过客服端软件对报警信息进行统计，并以柱状图、饼状图形式显示统计结果。</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b w:val="0"/>
                <w:bCs/>
                <w:kern w:val="2"/>
                <w:sz w:val="21"/>
                <w:szCs w:val="21"/>
                <w:lang w:val="zh-CN" w:eastAsia="zh-CN" w:bidi="ar-SA"/>
              </w:rPr>
            </w:pPr>
            <w:r>
              <w:rPr>
                <w:rFonts w:hint="eastAsia" w:ascii="宋体" w:hAnsi="宋体" w:eastAsia="宋体" w:cs="宋体"/>
                <w:bCs/>
                <w:sz w:val="21"/>
                <w:szCs w:val="21"/>
              </w:rPr>
              <w:t>▲智能枪柜控制系统符合《GB/T28181-2016公共安全视频监控联网系统信息传输、交换、控制技术要求》中的相关规定。</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r>
      <w:tr>
        <w:tblPrEx>
          <w:tblCellMar>
            <w:top w:w="0" w:type="dxa"/>
            <w:left w:w="108" w:type="dxa"/>
            <w:bottom w:w="0" w:type="dxa"/>
            <w:right w:w="108" w:type="dxa"/>
          </w:tblCellMar>
        </w:tblPrEx>
        <w:trPr>
          <w:trHeight w:val="435" w:hRule="atLeast"/>
        </w:trPr>
        <w:tc>
          <w:tcPr>
            <w:tcW w:w="241" w:type="pct"/>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bidi="ar"/>
              </w:rPr>
              <w:t>收缴枪柜</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（一）1、柜体规格：高1800*宽</w:t>
            </w:r>
            <w:r>
              <w:rPr>
                <w:rFonts w:hint="eastAsia" w:ascii="宋体" w:hAnsi="宋体" w:eastAsia="宋体" w:cs="宋体"/>
                <w:bCs/>
                <w:sz w:val="21"/>
                <w:szCs w:val="21"/>
                <w:lang w:val="en-US" w:eastAsia="zh-CN"/>
              </w:rPr>
              <w:t>10</w:t>
            </w:r>
            <w:r>
              <w:rPr>
                <w:rFonts w:hint="eastAsia" w:ascii="宋体" w:hAnsi="宋体" w:eastAsia="宋体" w:cs="宋体"/>
                <w:bCs/>
                <w:sz w:val="21"/>
                <w:szCs w:val="21"/>
                <w:lang w:eastAsia="zh-CN"/>
              </w:rPr>
              <w:t>00*深500mm（可根据需求定制)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2、柜门钢板厚度≥</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lang w:eastAsia="zh-CN"/>
              </w:rPr>
              <w:t>mm,柜体钢板厚度≥</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mm。柜体应光洁无毛刺。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（二）层板式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1、三托四空，可存放收缴枪支。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（三）工艺要求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1、柜体采用优质碳素钢材制作，光洁无毛刺。防破坏能力≥I 级（《枪支弹药专用保险柜》（GA1051-2013）标准）。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、柜体表面进行防腐处理，要具有防腐蚀功能。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lang w:eastAsia="zh-CN"/>
              </w:rPr>
              <w:t>、柜门开启方式，要采用全方位天地锁结构，要具有防撬、防钻、防潮功能。单扇门体上、下部及门结合面的锁定点总和不少于 4 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柜门上配二把全不锈钢内胆机械锁，保证永不生锈。锁能正常使用百万次以上，永不生锈。锁结构要完全不一样，系统要有智能识别功能。任何非法插入钥匙触碰都会自动报警。大门机械锁部分要求具有防撬防钻挡板或者类似装置结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eastAsia="zh-CN"/>
              </w:rPr>
              <w:t>、柜体下面要配四个钢制轮。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6</w:t>
            </w:r>
            <w:r>
              <w:rPr>
                <w:rFonts w:hint="eastAsia" w:ascii="宋体" w:hAnsi="宋体" w:eastAsia="宋体" w:cs="宋体"/>
                <w:bCs/>
                <w:sz w:val="21"/>
                <w:szCs w:val="21"/>
                <w:lang w:eastAsia="zh-CN"/>
              </w:rPr>
              <w:t>、柜体结构，箱体对角线误差≤1.2mm。外结构采用无缝对接，具有防钻、防电焊、防切割、防潮、防腐蚀等功能。</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r>
      <w:tr>
        <w:tblPrEx>
          <w:tblCellMar>
            <w:top w:w="0" w:type="dxa"/>
            <w:left w:w="108" w:type="dxa"/>
            <w:bottom w:w="0" w:type="dxa"/>
            <w:right w:w="108" w:type="dxa"/>
          </w:tblCellMar>
        </w:tblPrEx>
        <w:trPr>
          <w:trHeight w:val="4040" w:hRule="atLeast"/>
        </w:trPr>
        <w:tc>
          <w:tcPr>
            <w:tcW w:w="241" w:type="pct"/>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管控服务器</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eastAsia="zh-CN"/>
              </w:rPr>
              <w:t>产品结构：单处理器入门级塔式服务器。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eastAsia="zh-CN"/>
              </w:rPr>
              <w:t>CPU：奔腾G5420 双核四线程3.8GHz至强E-2224G四核四线程3.5GHz。</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eastAsia="zh-CN"/>
              </w:rPr>
              <w:t>内存：4个内存插槽，支持DDR4ECC/8GB/16GB，最大可支持到128GB。</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硬盘：最大可支持4块SATA接口机械硬盘或SSD固态硬盘，支持M.2。</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RAID：集成RAID支持，支持多种硬件RAID配置,可扩展独立RDID卡，RAID0.1.5</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网络：一个1GbE嵌入式千兆以太网口，可扩展。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电源：250W 80+高效能电源。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光驱：标配无光驱，可扩展内置或外置光驱。</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eastAsia="zh-CN"/>
              </w:rPr>
              <w:t>操作系统：支持Windows、WindowsServer、CentOSLinux、RedHatLinux及其它OS支持。</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r>
      <w:tr>
        <w:tblPrEx>
          <w:tblCellMar>
            <w:top w:w="0" w:type="dxa"/>
            <w:left w:w="108" w:type="dxa"/>
            <w:bottom w:w="0" w:type="dxa"/>
            <w:right w:w="108" w:type="dxa"/>
          </w:tblCellMar>
        </w:tblPrEx>
        <w:trPr>
          <w:trHeight w:val="416" w:hRule="atLeast"/>
        </w:trPr>
        <w:tc>
          <w:tcPr>
            <w:tcW w:w="241" w:type="pct"/>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p>
          <w:p>
            <w:pPr>
              <w:pStyle w:val="48"/>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sz w:val="21"/>
                <w:szCs w:val="21"/>
              </w:rPr>
            </w:pPr>
          </w:p>
          <w:p>
            <w:pPr>
              <w:pStyle w:val="48"/>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sz w:val="21"/>
                <w:szCs w:val="21"/>
              </w:rPr>
            </w:pPr>
          </w:p>
          <w:p>
            <w:pPr>
              <w:pStyle w:val="48"/>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sz w:val="21"/>
                <w:szCs w:val="21"/>
              </w:rPr>
            </w:pPr>
          </w:p>
          <w:p>
            <w:pPr>
              <w:pStyle w:val="48"/>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sz w:val="21"/>
                <w:szCs w:val="21"/>
              </w:rPr>
            </w:pPr>
          </w:p>
          <w:p>
            <w:pPr>
              <w:pStyle w:val="48"/>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br w:type="textWrapping"/>
            </w:r>
            <w:r>
              <w:rPr>
                <w:rFonts w:hint="eastAsia" w:ascii="宋体" w:hAnsi="宋体" w:eastAsia="宋体" w:cs="宋体"/>
                <w:color w:val="auto"/>
                <w:sz w:val="21"/>
                <w:szCs w:val="21"/>
                <w:lang w:val="en-US" w:eastAsia="zh-CN" w:bidi="ar"/>
              </w:rPr>
              <w:t>8</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lang w:bidi="ar"/>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lang w:bidi="ar"/>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lang w:bidi="ar"/>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lang w:bidi="ar"/>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lang w:bidi="ar"/>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网络摄像机</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采用星光级超低照度400万1/2.7英寸CMOS图像传感器，低照度效果好，图像清晰度高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最大可输出400万(2688x1520)@25fps</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支持Smart H.265/H.264H智能编码，ROI区域增强，SVC自适应编码，适用不同带宽和存储环境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最大红外监控距离50米，支持SmartIR，自动调整红外远近补光及画面均匀性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支持走廊模式，宽动态，3D降噪，强光抑制，背光补偿，数字水印，适用不同监控环境。多种异常检测，无SD卡，SD卡空间不足，SD卡出错，网络断开，IP冲突，非法访问，电压检测。多种智能，场景变更，虚焦侦测，音频异常侦测，绊线入侵，区域入侵，物品遗留，快速移动，人员聚集，物品搬移，徘徊检测，人 脸检测，热度图，人数统计。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支持报警3进2出，音频1进1出，128G SD卡，内置MIC</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支持DC12V/POE供电方式，宽压设计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rPr>
            </w:pPr>
            <w:r>
              <w:rPr>
                <w:rFonts w:hint="eastAsia" w:ascii="宋体" w:hAnsi="宋体" w:eastAsia="宋体" w:cs="宋体"/>
                <w:bCs/>
                <w:sz w:val="21"/>
                <w:szCs w:val="21"/>
                <w:lang w:val="en-US" w:eastAsia="zh-CN"/>
              </w:rPr>
              <w:t>支持IP67，IK10防护等级，防浪涌，防静电，防雷设计</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1</w:t>
            </w:r>
          </w:p>
        </w:tc>
      </w:tr>
      <w:tr>
        <w:tblPrEx>
          <w:tblCellMar>
            <w:top w:w="0" w:type="dxa"/>
            <w:left w:w="108" w:type="dxa"/>
            <w:bottom w:w="0" w:type="dxa"/>
            <w:right w:w="108" w:type="dxa"/>
          </w:tblCellMar>
        </w:tblPrEx>
        <w:trPr>
          <w:trHeight w:val="962" w:hRule="atLeast"/>
        </w:trPr>
        <w:tc>
          <w:tcPr>
            <w:tcW w:w="241"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网络硬盘录像机</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支持嵌入式Linux系统，工业级嵌入式微控制器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支持WEB、本地GUI界面操作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可接驳支持ONVIF、PSIA、RTSP协议的第三方摄像机和主流品牌摄像机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支持IPv4、IPv6、HTTP、NTP、DNS、ONVIF网络协议支持最大16路网络视频接入，网络性能接入128Mbps,储存128Mbps,转发128Mbps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支持8M/6M/5M/4M/3M/1080P/1.3M/720P IPC分辨率接入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支持2×4K/4×4M/8×1080P/16×720P解码，最大支持16路视频回放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支持1路VGA，1路HDMI，支持VGA/HDMI视频同源输出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支持4个内置SATA接口，单盘容量支持10T，可配置成单盘，支持SSD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支持IPC音频1路输入，支持语音对讲1路输出，支持PC通过NVR与网络摄像机进行语音对讲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支持8路报警输入、2路报警输出，其中1路继电器输出，1路12V1A ctrl输出，支持开关量输入输出模式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支持2个USB接口（1个前置USB2.0接口、1个后置USB3.0接口）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支持2个千兆以太网口，支持2个不同段IP地址的IPC设备接入，支持将双网口设置同一个IP地址，实现数据链路冗余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支持按时间、按事件等多种方式进行录像的检索、回放、备份，支持图片本地回放与查询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支持标签自定义功能，设备支持对指定时间的录像进行标签并归档，便于后续査看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支持本机硬盘、网络等存储方式，支持硬盘、外接USB存储设备备份方式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支持设备操作日志、报警日志、系统日志的记录与查询功能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支持断网续传功能，能对前端摄像机断网这段时间内SD卡中的录像回传到NVR。远程管理IPC功能，对前端IPC远程升级，远程对IPC的编码配置修改等操作 ，走廊模式功能。IPC画面旋转90°或270°，成9:16走廊模式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支持即时回放功能，在预览画面下回放指定通道的录像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支持预览图像与回放图像的电子放大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可以通过鼠标控制云台转动、放大、定位等操作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支持一键添加摄像机显示监控画面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支持远程零通道预览功能，可将接入的多路视频图像多画面显示在一路视频图像上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zh-CN"/>
              </w:rPr>
            </w:pPr>
            <w:r>
              <w:rPr>
                <w:rFonts w:hint="eastAsia" w:ascii="宋体" w:hAnsi="宋体" w:eastAsia="宋体" w:cs="宋体"/>
                <w:bCs/>
                <w:sz w:val="21"/>
                <w:szCs w:val="21"/>
                <w:lang w:val="en-US" w:eastAsia="zh-CN"/>
              </w:rPr>
              <w:t>支持盘组管理功能，实现视频录像的定向存储。</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r>
      <w:tr>
        <w:tblPrEx>
          <w:tblCellMar>
            <w:top w:w="0" w:type="dxa"/>
            <w:left w:w="108" w:type="dxa"/>
            <w:bottom w:w="0" w:type="dxa"/>
            <w:right w:w="108" w:type="dxa"/>
          </w:tblCellMar>
        </w:tblPrEx>
        <w:trPr>
          <w:trHeight w:val="1651"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lang w:val="en-US" w:eastAsia="zh-CN"/>
              </w:rPr>
              <w:t>4T</w:t>
            </w:r>
            <w:r>
              <w:rPr>
                <w:rFonts w:hint="eastAsia" w:ascii="宋体" w:hAnsi="宋体" w:eastAsia="宋体" w:cs="宋体"/>
                <w:b/>
                <w:sz w:val="21"/>
                <w:szCs w:val="21"/>
              </w:rPr>
              <w:t>监控专用硬盘</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设备描述：监控级硬盘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技术参数：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类别 3.5"企业级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zh-CN"/>
              </w:rPr>
            </w:pPr>
            <w:r>
              <w:rPr>
                <w:rFonts w:hint="eastAsia" w:ascii="宋体" w:hAnsi="宋体" w:eastAsia="宋体" w:cs="宋体"/>
                <w:bCs/>
                <w:sz w:val="21"/>
                <w:szCs w:val="21"/>
                <w:lang w:val="en-US" w:eastAsia="zh-CN"/>
              </w:rPr>
              <w:t>容量 4TB 缓存 64M 转速 7200转</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4</w:t>
            </w:r>
          </w:p>
        </w:tc>
      </w:tr>
      <w:tr>
        <w:tblPrEx>
          <w:tblCellMar>
            <w:top w:w="0" w:type="dxa"/>
            <w:left w:w="108" w:type="dxa"/>
            <w:bottom w:w="0" w:type="dxa"/>
            <w:right w:w="108" w:type="dxa"/>
          </w:tblCellMar>
        </w:tblPrEx>
        <w:trPr>
          <w:trHeight w:val="90" w:hRule="atLeast"/>
        </w:trPr>
        <w:tc>
          <w:tcPr>
            <w:tcW w:w="241"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lang w:val="en-US" w:eastAsia="zh-CN"/>
              </w:rPr>
              <w:t>27寸</w:t>
            </w:r>
            <w:r>
              <w:rPr>
                <w:rFonts w:hint="eastAsia" w:ascii="宋体" w:hAnsi="宋体" w:eastAsia="宋体" w:cs="宋体"/>
                <w:b/>
                <w:sz w:val="21"/>
                <w:szCs w:val="21"/>
              </w:rPr>
              <w:t>液晶显示器</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设备描述：27英寸LED背光液晶显示器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技术参数：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显示可视角度：(水平/垂直)：170°/160°(CR&gt;10)</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接口：VGA1个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rPr>
            </w:pPr>
            <w:r>
              <w:rPr>
                <w:rFonts w:hint="eastAsia" w:ascii="宋体" w:hAnsi="宋体" w:eastAsia="宋体" w:cs="宋体"/>
                <w:bCs/>
                <w:sz w:val="21"/>
                <w:szCs w:val="21"/>
                <w:lang w:val="en-US" w:eastAsia="zh-CN"/>
              </w:rPr>
              <w:t>电源类型：外置适配器 电压：100-240V(50/60hz) 耗电量：15W</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rPr>
              <w:t>交换机</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zh-CN"/>
              </w:rPr>
            </w:pPr>
            <w:r>
              <w:rPr>
                <w:rFonts w:hint="eastAsia" w:ascii="宋体" w:hAnsi="宋体" w:eastAsia="宋体" w:cs="宋体"/>
                <w:bCs/>
                <w:sz w:val="21"/>
                <w:szCs w:val="21"/>
                <w:lang w:val="en-US" w:eastAsia="zh-CN"/>
              </w:rPr>
              <w:t>16口百兆非网管POE交换机，16个百兆POE电口，2个千兆电口，2个复用的千兆光口，非网管。交换容量7.2Gbps,包转发率5.36Mpps,1U高度，19英寸机架式，工作温度：0℃～40℃，支持220v交流，满负荷功耗250瓦，支持AF,AT双标准POE，POE功率230瓦；1-8号端口支持视频红口保障技术。</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2</w:t>
            </w:r>
          </w:p>
        </w:tc>
      </w:tr>
      <w:tr>
        <w:tblPrEx>
          <w:tblCellMar>
            <w:top w:w="0" w:type="dxa"/>
            <w:left w:w="108" w:type="dxa"/>
            <w:bottom w:w="0" w:type="dxa"/>
            <w:right w:w="108" w:type="dxa"/>
          </w:tblCellMar>
        </w:tblPrEx>
        <w:trPr>
          <w:trHeight w:val="1080" w:hRule="atLeast"/>
        </w:trPr>
        <w:tc>
          <w:tcPr>
            <w:tcW w:w="241"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rPr>
              <w:t>机柜</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容量12U</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标准符合ANSI/EIA RS-310-D、IEC297-2、DIN41491; PART1、DIN41494; PART7、</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GB/T3047.2- 92标准;兼容ETSI标准.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门及门锁钢化玻璃前门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材料及工艺SPCC优质冷扎钢板制作；厚度：方孔条2.0mm，安装梁1.5mm，其它1.2mm。</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zh-CN"/>
              </w:rPr>
            </w:pPr>
            <w:r>
              <w:rPr>
                <w:rFonts w:hint="eastAsia" w:ascii="宋体" w:hAnsi="宋体" w:eastAsia="宋体" w:cs="宋体"/>
                <w:bCs/>
                <w:sz w:val="21"/>
                <w:szCs w:val="21"/>
                <w:lang w:val="en-US" w:eastAsia="zh-CN"/>
              </w:rPr>
              <w:t>表面处理:方孔条镀蓝锌；其余：脱脂、磷化、静电喷塑。</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 xml:space="preserve">个 </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r>
      <w:tr>
        <w:tblPrEx>
          <w:tblCellMar>
            <w:top w:w="0" w:type="dxa"/>
            <w:left w:w="108" w:type="dxa"/>
            <w:bottom w:w="0" w:type="dxa"/>
            <w:right w:w="108" w:type="dxa"/>
          </w:tblCellMar>
        </w:tblPrEx>
        <w:trPr>
          <w:trHeight w:val="391" w:hRule="atLeast"/>
        </w:trPr>
        <w:tc>
          <w:tcPr>
            <w:tcW w:w="241"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rPr>
              <w:t>PDU</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国产，8位</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rPr>
              <w:t>网线</w:t>
            </w:r>
          </w:p>
        </w:tc>
        <w:tc>
          <w:tcPr>
            <w:tcW w:w="356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超五类</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箱</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4</w:t>
            </w:r>
          </w:p>
        </w:tc>
      </w:tr>
      <w:tr>
        <w:tblPrEx>
          <w:tblCellMar>
            <w:top w:w="0" w:type="dxa"/>
            <w:left w:w="108" w:type="dxa"/>
            <w:bottom w:w="0" w:type="dxa"/>
            <w:right w:w="108" w:type="dxa"/>
          </w:tblCellMar>
        </w:tblPrEx>
        <w:trPr>
          <w:trHeight w:val="9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rPr>
              <w:t>电源线</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RVV2*1.0</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卷</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tblPrEx>
          <w:tblCellMar>
            <w:top w:w="0" w:type="dxa"/>
            <w:left w:w="108" w:type="dxa"/>
            <w:bottom w:w="0" w:type="dxa"/>
            <w:right w:w="108" w:type="dxa"/>
          </w:tblCellMar>
        </w:tblPrEx>
        <w:trPr>
          <w:trHeight w:val="9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信号线</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RVV4×0.75</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卷</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4</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VGA线</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20米成品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根</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报警主机</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技术参数：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高速数字通讯方式，使用Adecom 4+2或Contact ID通讯协议。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一组高级主码，四组普通用户密码，真正的密码分区布撤防功能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可扩展GSM双网拨号功能，通过GSM模块可以采用GPRS网络与中心联网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报警，布撤防信息，系统故障，查询语音播报系统，方便快捷查询主机各类信息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编程语音播报功能，实现方便，简单无错编程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内置语音模块，可录10～20秒语音，进行语音报警。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8路有线8路无线防区，可扩展为16路有线，LED指示，加语音播报，简单明确。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最多可设置5组中心报警电话号码或4组报警电话（固定电话或手机号码）警情触发时，循环拨号。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5种布防方式：离去布防、在家布防、单防区布防、延时布防、远程布防和门禁布防。</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6种防区类型：即时防区、延时防区、24h防区、内部防区、智能防区、旁路防区和门铃防区。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zh-CN"/>
              </w:rPr>
            </w:pPr>
            <w:r>
              <w:rPr>
                <w:rFonts w:hint="eastAsia" w:ascii="宋体" w:hAnsi="宋体" w:eastAsia="宋体" w:cs="宋体"/>
                <w:bCs/>
                <w:sz w:val="21"/>
                <w:szCs w:val="21"/>
                <w:lang w:val="en-US" w:eastAsia="zh-CN"/>
              </w:rPr>
              <w:t>自动恢复功能：断电后恢复供电时，断电前的信息和主机设置不会改变,可用遥控器进行布防、撤防、紧急报警等操作。可带后备电源，断电后可供电24h。</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主机键盘</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设备描述：LED编程键盘，24防区显示，带按键保护盖，全功能操作，多个快捷键方便操作。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技术参数：防区数量：支持24个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提醒类型：报警、布防、旁路</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墙体振动探测器</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技术参数：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控制范围：每只振动探测器可控制10-15m2的房间或10-15m的围墙（高3-4m）。</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灵敏度：在探测器警戒防范区内，以60kg（±5kg）体重的人用铁制≥1kg的钢锤或其它工具打墙1-3次报警。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防拆功能：打开探测器盒盖或断电源线时报警；</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8</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继电器输出模块</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设备描述：8路联动继电器模块可扩展8路开关量输出，通过控制主机编程，从而达到联动灯光、警号等各种设备的联动控制继电器联动模块，可实现视频监控联动。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技术参数：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继电器输出单元：8路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继电器输出时间：10秒</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输出方式：常闭（NC）</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继电器负荷参数:</w:t>
            </w:r>
            <w:r>
              <w:rPr>
                <w:rFonts w:hint="eastAsia" w:ascii="宋体" w:hAnsi="宋体" w:eastAsia="宋体" w:cs="宋体"/>
                <w:bCs/>
                <w:sz w:val="21"/>
                <w:szCs w:val="21"/>
                <w:lang w:val="en-US" w:eastAsia="zh-CN"/>
              </w:rPr>
              <w:tab/>
            </w:r>
            <w:r>
              <w:rPr>
                <w:rFonts w:hint="eastAsia" w:ascii="宋体" w:hAnsi="宋体" w:eastAsia="宋体" w:cs="宋体"/>
                <w:bCs/>
                <w:sz w:val="21"/>
                <w:szCs w:val="21"/>
                <w:lang w:val="en-US" w:eastAsia="zh-CN"/>
              </w:rPr>
              <w:t>电压：交直流30伏以下，电流：3安培以下</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18</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红外双鉴探测器</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设备描述：智能双鉴被动红外探测器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技术参数：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探测距离：12m</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探测角度：110度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灵敏度： 30-100%可调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振荡源：微带电路,振荡单元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报警端口：平时连通,报警时断开5秒,接点容量100MA/30VDC,接点中已经串联1欧电阻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防拆开关：平时为连通,外壳被拆开是断开,接点容量100MA/30VDC</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电源电压： 9-16V稳压电源</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6</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手报</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国标sos</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3</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声光警号</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技术参数：声光报警器（带转动）;声压≥108dB;电流≤250mA</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幕帘</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SMT工艺，抗EMI/RFI干扰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距离：6M/角度：15°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4</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四键无线遥控器</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设备描述：报警主机无线遥控器，遥控布防、撤防。</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技术参数：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重码率：0.00001%</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遥控距离：20m</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12v30A电源</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输出电压：12V，输出电流：30A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lang w:eastAsia="zh-CN"/>
              </w:rPr>
              <w:t>山</w:t>
            </w:r>
            <w:r>
              <w:rPr>
                <w:rFonts w:hint="eastAsia" w:ascii="宋体" w:hAnsi="宋体" w:eastAsia="宋体" w:cs="宋体"/>
                <w:b/>
                <w:sz w:val="21"/>
                <w:szCs w:val="21"/>
              </w:rPr>
              <w:t>特2K机头</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满足系统要求</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lang w:eastAsia="zh-CN"/>
              </w:rPr>
              <w:t>后备电池</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CTP-2</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lang w:val="en-US" w:eastAsia="zh-CN"/>
              </w:rPr>
              <w:t>块</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6</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lang w:eastAsia="zh-CN"/>
              </w:rPr>
            </w:pPr>
            <w:r>
              <w:rPr>
                <w:rFonts w:hint="eastAsia" w:ascii="宋体" w:hAnsi="宋体" w:eastAsia="宋体" w:cs="宋体"/>
                <w:b/>
                <w:sz w:val="21"/>
                <w:szCs w:val="21"/>
              </w:rPr>
              <w:t>电池柜</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A8</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rPr>
              <w:t>台</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lang w:eastAsia="zh-CN"/>
              </w:rPr>
            </w:pPr>
            <w:r>
              <w:rPr>
                <w:rFonts w:hint="eastAsia" w:ascii="宋体" w:hAnsi="宋体" w:eastAsia="宋体" w:cs="宋体"/>
                <w:b/>
                <w:sz w:val="21"/>
                <w:szCs w:val="21"/>
              </w:rPr>
              <w:t>辅材</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线管、扎带、线卡、钢钉等</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rPr>
              <w:t>项</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r>
      <w:tr>
        <w:tblPrEx>
          <w:tblCellMar>
            <w:top w:w="0" w:type="dxa"/>
            <w:left w:w="108" w:type="dxa"/>
            <w:bottom w:w="0" w:type="dxa"/>
            <w:right w:w="108" w:type="dxa"/>
          </w:tblCellMar>
        </w:tblPrEx>
        <w:trPr>
          <w:trHeight w:val="270" w:hRule="atLeast"/>
        </w:trPr>
        <w:tc>
          <w:tcPr>
            <w:tcW w:w="241" w:type="pct"/>
            <w:vMerge w:val="continue"/>
            <w:tcBorders>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人工</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项</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r>
      <w:tr>
        <w:tblPrEx>
          <w:tblCellMar>
            <w:top w:w="0" w:type="dxa"/>
            <w:left w:w="108" w:type="dxa"/>
            <w:bottom w:w="0" w:type="dxa"/>
            <w:right w:w="108" w:type="dxa"/>
          </w:tblCellMar>
        </w:tblPrEx>
        <w:trPr>
          <w:trHeight w:val="270" w:hRule="atLeast"/>
        </w:trPr>
        <w:tc>
          <w:tcPr>
            <w:tcW w:w="241" w:type="pct"/>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60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lang w:val="en-US" w:eastAsia="zh-CN"/>
              </w:rPr>
              <w:t>拆装防盗门及修复门洞</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工艺：人工非保护性拆除原防盗门。2.说明：如客户要求保护性拆除，依据现场实际情况执行（能否保护）按非标定价费用另计，或客户聘请专业厂家拆卸。3.重新安装新款防盗门，四周要求必须用水泥灰填满并加固。</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项</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r>
      <w:tr>
        <w:tblPrEx>
          <w:tblCellMar>
            <w:top w:w="0" w:type="dxa"/>
            <w:left w:w="108" w:type="dxa"/>
            <w:bottom w:w="0" w:type="dxa"/>
            <w:right w:w="108" w:type="dxa"/>
          </w:tblCellMar>
        </w:tblPrEx>
        <w:trPr>
          <w:trHeight w:val="270" w:hRule="atLeast"/>
        </w:trPr>
        <w:tc>
          <w:tcPr>
            <w:tcW w:w="241"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lang w:val="en-US" w:eastAsia="zh-CN"/>
              </w:rPr>
              <w:t>砌墙</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工艺：人工测量定位→弹线→砂浆制备→加气砖错缝砌筑。2.说明：（1）如砌筑有门洞口、单面无连接墙体、超高、超长或U型及L型墙体，需对边框及门梁进行混凝土加固费用另计。（2）曲面砌筑、表面抹灰、挂网等费用另计。</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平方</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34</w:t>
            </w:r>
          </w:p>
        </w:tc>
      </w:tr>
      <w:tr>
        <w:tblPrEx>
          <w:tblCellMar>
            <w:top w:w="0" w:type="dxa"/>
            <w:left w:w="108" w:type="dxa"/>
            <w:bottom w:w="0" w:type="dxa"/>
            <w:right w:w="108" w:type="dxa"/>
          </w:tblCellMar>
        </w:tblPrEx>
        <w:trPr>
          <w:trHeight w:val="270" w:hRule="atLeast"/>
        </w:trPr>
        <w:tc>
          <w:tcPr>
            <w:tcW w:w="241"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管内套线</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管内套线</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米</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32.5</w:t>
            </w:r>
          </w:p>
        </w:tc>
      </w:tr>
      <w:tr>
        <w:tblPrEx>
          <w:tblCellMar>
            <w:top w:w="0" w:type="dxa"/>
            <w:left w:w="108" w:type="dxa"/>
            <w:bottom w:w="0" w:type="dxa"/>
            <w:right w:w="108" w:type="dxa"/>
          </w:tblCellMar>
        </w:tblPrEx>
        <w:trPr>
          <w:trHeight w:val="270" w:hRule="atLeast"/>
        </w:trPr>
        <w:tc>
          <w:tcPr>
            <w:tcW w:w="241"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电源插座</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1.名称:5 孔插座 2.材质:塑料  3.安装方式:墙内暗嵌（含面板及底盒）</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10</w:t>
            </w:r>
          </w:p>
        </w:tc>
      </w:tr>
      <w:tr>
        <w:tblPrEx>
          <w:tblCellMar>
            <w:top w:w="0" w:type="dxa"/>
            <w:left w:w="108" w:type="dxa"/>
            <w:bottom w:w="0" w:type="dxa"/>
            <w:right w:w="108" w:type="dxa"/>
          </w:tblCellMar>
        </w:tblPrEx>
        <w:trPr>
          <w:trHeight w:val="270" w:hRule="atLeast"/>
        </w:trPr>
        <w:tc>
          <w:tcPr>
            <w:tcW w:w="241"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lang w:val="en-US" w:eastAsia="zh-CN"/>
              </w:rPr>
              <w:t>网络插座</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1.名称:网络插座 2.类别:塑料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3.安装方式:墙内暗嵌 4.底盒材质、规格:含面板及底盒 </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eastAsia="zh-CN"/>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10</w:t>
            </w:r>
          </w:p>
        </w:tc>
      </w:tr>
      <w:tr>
        <w:tblPrEx>
          <w:tblCellMar>
            <w:top w:w="0" w:type="dxa"/>
            <w:left w:w="108" w:type="dxa"/>
            <w:bottom w:w="0" w:type="dxa"/>
            <w:right w:w="108" w:type="dxa"/>
          </w:tblCellMar>
        </w:tblPrEx>
        <w:trPr>
          <w:trHeight w:val="270" w:hRule="atLeast"/>
        </w:trPr>
        <w:tc>
          <w:tcPr>
            <w:tcW w:w="241"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定制甲级防盗门</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符合《GA-1016-2012枪支(弹药)库室风险等级划分与安全防范要求》中5.2.3条引用的《GB17565-2007防盗安防门通用技术条件》中甲级防盗安全门的有关要求。</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b w:val="0"/>
                <w:bCs/>
                <w:sz w:val="21"/>
                <w:szCs w:val="21"/>
              </w:rPr>
              <w:t>扇</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3</w:t>
            </w:r>
          </w:p>
        </w:tc>
      </w:tr>
      <w:tr>
        <w:tblPrEx>
          <w:tblCellMar>
            <w:top w:w="0" w:type="dxa"/>
            <w:left w:w="108" w:type="dxa"/>
            <w:bottom w:w="0" w:type="dxa"/>
            <w:right w:w="108" w:type="dxa"/>
          </w:tblCellMar>
        </w:tblPrEx>
        <w:trPr>
          <w:trHeight w:val="270" w:hRule="atLeast"/>
        </w:trPr>
        <w:tc>
          <w:tcPr>
            <w:tcW w:w="241"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油漆</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1.工艺：打磨砂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纸→乳胶漆底漆一遍→乳胶漆面漆两遍。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2.界面剂、高级墙泥、底漆、面漆、人工费及机械费。</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项</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r>
      <w:tr>
        <w:tblPrEx>
          <w:tblCellMar>
            <w:top w:w="0" w:type="dxa"/>
            <w:left w:w="108" w:type="dxa"/>
            <w:bottom w:w="0" w:type="dxa"/>
            <w:right w:w="108" w:type="dxa"/>
          </w:tblCellMar>
        </w:tblPrEx>
        <w:trPr>
          <w:trHeight w:val="270" w:hRule="atLeast"/>
        </w:trPr>
        <w:tc>
          <w:tcPr>
            <w:tcW w:w="241"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防爆灯</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额定电压：AC220V 50HZ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防爆标志：ExdⅡCT6</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执行标准：GB3836.1 GB3836.2 GB3836.3</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光源类型：LED</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功率：100W/90W/80W</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防护等级：IP65</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透明罩:高强度钢化玻璃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显色指数：≥80%</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进线口螺纹：G3/4〃</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12</w:t>
            </w:r>
          </w:p>
        </w:tc>
      </w:tr>
      <w:tr>
        <w:tblPrEx>
          <w:tblCellMar>
            <w:top w:w="0" w:type="dxa"/>
            <w:left w:w="108" w:type="dxa"/>
            <w:bottom w:w="0" w:type="dxa"/>
            <w:right w:w="108" w:type="dxa"/>
          </w:tblCellMar>
        </w:tblPrEx>
        <w:trPr>
          <w:trHeight w:val="270" w:hRule="atLeast"/>
        </w:trPr>
        <w:tc>
          <w:tcPr>
            <w:tcW w:w="241"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bCs w:val="0"/>
                <w:sz w:val="21"/>
                <w:szCs w:val="21"/>
                <w:lang w:val="en-US" w:eastAsia="zh-CN"/>
              </w:rPr>
              <w:t>通风口</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使用Φ160mm 的水钻开孔。并且加装防护网。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矩形 15cm 正方形开孔，并且加装防护网。</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CellMar>
            <w:top w:w="0" w:type="dxa"/>
            <w:left w:w="108" w:type="dxa"/>
            <w:bottom w:w="0" w:type="dxa"/>
            <w:right w:w="108" w:type="dxa"/>
          </w:tblCellMar>
        </w:tblPrEx>
        <w:trPr>
          <w:trHeight w:val="270" w:hRule="atLeast"/>
        </w:trPr>
        <w:tc>
          <w:tcPr>
            <w:tcW w:w="241" w:type="pct"/>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60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bCs w:val="0"/>
                <w:sz w:val="21"/>
                <w:szCs w:val="21"/>
              </w:rPr>
              <w:t>辅材</w:t>
            </w:r>
          </w:p>
        </w:tc>
        <w:tc>
          <w:tcPr>
            <w:tcW w:w="356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切割片、胶带等</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项</w:t>
            </w:r>
          </w:p>
        </w:tc>
        <w:tc>
          <w:tcPr>
            <w:tcW w:w="3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r>
    </w:tbl>
    <w:p>
      <w:pPr>
        <w:spacing w:line="480" w:lineRule="exact"/>
        <w:ind w:firstLine="472" w:firstLineChars="196"/>
        <w:rPr>
          <w:rFonts w:hint="eastAsia" w:ascii="宋体" w:hAnsi="宋体"/>
          <w:b/>
          <w:color w:val="000000"/>
          <w:sz w:val="24"/>
          <w:lang w:val="en-US" w:eastAsia="zh-CN"/>
        </w:rPr>
      </w:pPr>
      <w:r>
        <w:rPr>
          <w:rFonts w:hint="eastAsia" w:ascii="宋体" w:hAnsi="宋体"/>
          <w:b/>
          <w:color w:val="000000"/>
          <w:sz w:val="24"/>
        </w:rPr>
        <w:t>注：</w:t>
      </w:r>
      <w:r>
        <w:rPr>
          <w:rFonts w:hint="eastAsia" w:ascii="宋体" w:hAnsi="宋体"/>
          <w:b/>
          <w:color w:val="000000"/>
          <w:sz w:val="24"/>
          <w:lang w:val="en-US" w:eastAsia="zh-CN"/>
        </w:rPr>
        <w:t>1、上述加▲项需提供国家安全防范报警系统产品质量监督中心或公安部特种警用装备质量监督检验中心出具的检验报告，提供彩色复印件加盖投标公章。</w:t>
      </w:r>
    </w:p>
    <w:p>
      <w:pPr>
        <w:spacing w:line="480" w:lineRule="exact"/>
        <w:ind w:firstLine="472" w:firstLineChars="196"/>
        <w:rPr>
          <w:rFonts w:hint="eastAsia" w:ascii="宋体" w:hAnsi="宋体"/>
          <w:b/>
          <w:sz w:val="24"/>
          <w:highlight w:val="none"/>
        </w:rPr>
      </w:pPr>
      <w:r>
        <w:rPr>
          <w:rFonts w:hint="eastAsia" w:ascii="宋体" w:hAnsi="宋体"/>
          <w:b/>
          <w:color w:val="000000"/>
          <w:sz w:val="24"/>
          <w:lang w:val="en-US" w:eastAsia="zh-CN"/>
        </w:rPr>
        <w:t>2</w:t>
      </w:r>
      <w:r>
        <w:rPr>
          <w:rFonts w:hint="eastAsia" w:ascii="宋体" w:hAnsi="宋体"/>
          <w:b/>
          <w:color w:val="000000"/>
          <w:sz w:val="24"/>
        </w:rPr>
        <w:t>、招标方根据本项目的技术构成、产品价格比重等合理确定了本次采购的核心产品，</w:t>
      </w:r>
      <w:r>
        <w:rPr>
          <w:rFonts w:hint="eastAsia" w:ascii="宋体" w:hAnsi="宋体" w:eastAsia="宋体" w:cs="Times New Roman"/>
          <w:b/>
          <w:color w:val="000000"/>
          <w:sz w:val="24"/>
        </w:rPr>
        <w:t>设备为“</w:t>
      </w:r>
      <w:r>
        <w:rPr>
          <w:rFonts w:hint="eastAsia" w:ascii="宋体" w:hAnsi="宋体" w:eastAsia="宋体" w:cs="Times New Roman"/>
          <w:b/>
          <w:color w:val="000000"/>
          <w:sz w:val="24"/>
          <w:lang w:val="en-US" w:eastAsia="zh-CN"/>
        </w:rPr>
        <w:t>54位智能短枪柜</w:t>
      </w:r>
      <w:r>
        <w:rPr>
          <w:rFonts w:hint="eastAsia" w:ascii="宋体" w:hAnsi="宋体" w:eastAsia="宋体" w:cs="Times New Roman"/>
          <w:b/>
          <w:color w:val="000000"/>
          <w:sz w:val="24"/>
        </w:rPr>
        <w:t xml:space="preserve">” </w:t>
      </w:r>
      <w:r>
        <w:rPr>
          <w:rFonts w:hint="eastAsia" w:ascii="宋体" w:hAnsi="宋体"/>
          <w:b w:val="0"/>
          <w:bCs/>
          <w:sz w:val="24"/>
          <w:highlight w:val="none"/>
        </w:rPr>
        <w:t>。</w:t>
      </w:r>
    </w:p>
    <w:p>
      <w:pPr>
        <w:pStyle w:val="51"/>
        <w:numPr>
          <w:ilvl w:val="0"/>
          <w:numId w:val="0"/>
        </w:numPr>
        <w:spacing w:line="480" w:lineRule="exact"/>
        <w:ind w:firstLine="482" w:firstLineChars="200"/>
        <w:rPr>
          <w:rFonts w:hint="eastAsia" w:ascii="宋体" w:hAnsi="宋体" w:eastAsia="宋体" w:cs="Times New Roman"/>
          <w:b/>
          <w:color w:val="000000"/>
          <w:kern w:val="2"/>
          <w:sz w:val="24"/>
          <w:szCs w:val="24"/>
          <w:lang w:val="en-US" w:eastAsia="zh-CN" w:bidi="ar-SA"/>
        </w:rPr>
      </w:pPr>
      <w:r>
        <w:rPr>
          <w:rFonts w:hint="eastAsia" w:cs="Times New Roman"/>
          <w:b/>
          <w:color w:val="000000"/>
          <w:kern w:val="2"/>
          <w:sz w:val="24"/>
          <w:szCs w:val="24"/>
          <w:lang w:val="en-US" w:eastAsia="zh-CN" w:bidi="ar-SA"/>
        </w:rPr>
        <w:t>3</w:t>
      </w:r>
      <w:r>
        <w:rPr>
          <w:rFonts w:hint="eastAsia" w:eastAsia="宋体" w:cs="Times New Roman"/>
          <w:b/>
          <w:color w:val="000000"/>
          <w:kern w:val="2"/>
          <w:sz w:val="24"/>
          <w:szCs w:val="24"/>
          <w:lang w:val="en-US" w:eastAsia="zh-CN" w:bidi="ar-SA"/>
        </w:rPr>
        <w:t>、</w:t>
      </w:r>
      <w:r>
        <w:rPr>
          <w:rFonts w:hint="eastAsia" w:ascii="宋体" w:hAnsi="宋体" w:eastAsia="宋体" w:cs="Times New Roman"/>
          <w:b/>
          <w:color w:val="000000"/>
          <w:kern w:val="2"/>
          <w:sz w:val="24"/>
          <w:szCs w:val="24"/>
          <w:lang w:val="en-US" w:eastAsia="zh-CN" w:bidi="ar-SA"/>
        </w:rPr>
        <w:t>上述加▲项中需提供相关证明材料的，在该项目中标公示上网之日起三个工作日内，向采购人提供相关检测报告原件核查。如不提供或提供的原件与投标时提供的证明材料不一致，将被视为在投标过程中提供虚假材料谋取中标成交，列入不良行为记录名单。</w:t>
      </w:r>
    </w:p>
    <w:p>
      <w:pPr>
        <w:pStyle w:val="51"/>
        <w:spacing w:line="480" w:lineRule="exact"/>
        <w:ind w:firstLine="482" w:firstLineChars="200"/>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三、服务保障和承诺要求</w:t>
      </w:r>
    </w:p>
    <w:p>
      <w:pPr>
        <w:spacing w:line="480" w:lineRule="exact"/>
        <w:ind w:firstLine="480" w:firstLineChars="200"/>
        <w:jc w:val="left"/>
        <w:rPr>
          <w:rFonts w:hint="eastAsia" w:ascii="宋体" w:hAnsi="宋体" w:cs="宋体"/>
          <w:b w:val="0"/>
          <w:bCs/>
          <w:sz w:val="24"/>
        </w:rPr>
      </w:pPr>
      <w:r>
        <w:rPr>
          <w:rFonts w:hint="eastAsia" w:ascii="宋体" w:hAnsi="宋体"/>
          <w:b w:val="0"/>
          <w:bCs/>
          <w:sz w:val="24"/>
        </w:rPr>
        <w:t>1. 各投标人必须严格按照本次招标技术参数要求进行合理报价并供货，如后期出现验收不合格情形视同虚假承诺谋取中标成交，将被列入不良行为记录名单。</w:t>
      </w:r>
    </w:p>
    <w:p>
      <w:pPr>
        <w:widowControl/>
        <w:snapToGrid w:val="0"/>
        <w:spacing w:line="480" w:lineRule="exact"/>
        <w:ind w:firstLine="480" w:firstLineChars="200"/>
        <w:outlineLvl w:val="0"/>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 xml:space="preserve">. </w:t>
      </w:r>
      <w:r>
        <w:rPr>
          <w:rFonts w:hint="eastAsia" w:ascii="宋体" w:hAnsi="宋体" w:cs="宋体"/>
          <w:color w:val="000000"/>
          <w:kern w:val="0"/>
          <w:sz w:val="24"/>
        </w:rPr>
        <w:t>全部产品</w:t>
      </w:r>
      <w:r>
        <w:rPr>
          <w:rFonts w:hint="eastAsia" w:ascii="宋体" w:hAnsi="宋体" w:cs="宋体"/>
          <w:kern w:val="0"/>
          <w:sz w:val="24"/>
        </w:rPr>
        <w:t>提供三年质保期服务。免费质保期间出现的问题，必须在2小时内响应，</w:t>
      </w:r>
      <w:r>
        <w:rPr>
          <w:rFonts w:ascii="宋体" w:hAnsi="宋体" w:cs="宋体"/>
          <w:kern w:val="0"/>
          <w:sz w:val="24"/>
        </w:rPr>
        <w:t>12</w:t>
      </w:r>
      <w:r>
        <w:rPr>
          <w:rFonts w:hint="eastAsia" w:ascii="宋体" w:hAnsi="宋体" w:cs="宋体"/>
          <w:kern w:val="0"/>
          <w:sz w:val="24"/>
        </w:rPr>
        <w:t>个小时内到达现场，</w:t>
      </w:r>
      <w:r>
        <w:rPr>
          <w:rFonts w:ascii="宋体" w:hAnsi="宋体" w:cs="宋体"/>
          <w:kern w:val="0"/>
          <w:sz w:val="24"/>
        </w:rPr>
        <w:t>24</w:t>
      </w:r>
      <w:r>
        <w:rPr>
          <w:rFonts w:hint="eastAsia" w:ascii="宋体" w:hAnsi="宋体" w:cs="宋体"/>
          <w:kern w:val="0"/>
          <w:sz w:val="24"/>
        </w:rPr>
        <w:t>小时内修复。如需要更换设备或送修，必须在7个工作日内完成。</w:t>
      </w:r>
    </w:p>
    <w:p>
      <w:pPr>
        <w:widowControl/>
        <w:snapToGrid w:val="0"/>
        <w:spacing w:line="480" w:lineRule="exact"/>
        <w:ind w:firstLine="480" w:firstLineChars="200"/>
        <w:outlineLvl w:val="0"/>
        <w:rPr>
          <w:rFonts w:hint="eastAsia" w:ascii="宋体" w:hAnsi="宋体" w:cs="宋体"/>
          <w:kern w:val="0"/>
          <w:sz w:val="24"/>
        </w:rPr>
      </w:pPr>
      <w:r>
        <w:rPr>
          <w:rFonts w:hint="eastAsia" w:ascii="宋体" w:hAnsi="宋体" w:cs="宋体"/>
          <w:kern w:val="0"/>
          <w:sz w:val="24"/>
        </w:rPr>
        <w:t>3．中标单位自行承担安装过程中的安全责任。</w:t>
      </w:r>
    </w:p>
    <w:p>
      <w:pPr>
        <w:widowControl/>
        <w:spacing w:line="480" w:lineRule="exact"/>
        <w:ind w:firstLine="480" w:firstLineChars="200"/>
        <w:outlineLvl w:val="1"/>
        <w:rPr>
          <w:rFonts w:ascii="宋体" w:hAnsi="宋体" w:cs="Arial"/>
          <w:b/>
          <w:color w:val="auto"/>
          <w:sz w:val="24"/>
          <w:szCs w:val="24"/>
        </w:rPr>
      </w:pPr>
      <w:r>
        <w:rPr>
          <w:rFonts w:hint="eastAsia" w:ascii="宋体" w:hAnsi="宋体" w:cs="宋体"/>
          <w:kern w:val="0"/>
          <w:sz w:val="24"/>
        </w:rPr>
        <w:t>4．投标人在设备安装过程中涉及第三方产品知识产权情况，若出现技术、经济或法律上的纠纷，应由中标人全面承担并全权解决，并确保不影响项目的进度。</w:t>
      </w:r>
    </w:p>
    <w:p>
      <w:pPr>
        <w:pStyle w:val="21"/>
        <w:spacing w:line="480" w:lineRule="exact"/>
        <w:jc w:val="center"/>
        <w:outlineLvl w:val="0"/>
        <w:rPr>
          <w:rFonts w:hint="eastAsia" w:hAnsi="宋体" w:cs="宋体"/>
          <w:b/>
          <w:color w:val="auto"/>
          <w:sz w:val="32"/>
          <w:szCs w:val="32"/>
        </w:rPr>
        <w:sectPr>
          <w:headerReference r:id="rId3" w:type="default"/>
          <w:footerReference r:id="rId4" w:type="default"/>
          <w:pgSz w:w="11906" w:h="16838"/>
          <w:pgMar w:top="1418" w:right="1418" w:bottom="1191" w:left="1276" w:header="851" w:footer="992" w:gutter="0"/>
          <w:pgNumType w:start="1"/>
          <w:cols w:space="720" w:num="1"/>
          <w:docGrid w:linePitch="360" w:charSpace="0"/>
        </w:sectPr>
      </w:pPr>
      <w:bookmarkStart w:id="20" w:name="_Toc130206649"/>
      <w:bookmarkStart w:id="21" w:name="_Toc120519615"/>
    </w:p>
    <w:p>
      <w:pPr>
        <w:pStyle w:val="21"/>
        <w:spacing w:line="480" w:lineRule="exact"/>
        <w:jc w:val="center"/>
        <w:outlineLvl w:val="0"/>
        <w:rPr>
          <w:rFonts w:hAnsi="宋体" w:cs="宋体"/>
          <w:b/>
          <w:color w:val="auto"/>
          <w:sz w:val="32"/>
          <w:szCs w:val="32"/>
        </w:rPr>
      </w:pPr>
      <w:r>
        <w:rPr>
          <w:rFonts w:hint="eastAsia" w:hAnsi="宋体" w:cs="宋体"/>
          <w:b/>
          <w:color w:val="auto"/>
          <w:sz w:val="32"/>
          <w:szCs w:val="32"/>
        </w:rPr>
        <w:t>第四章  评标办法及评分标准</w:t>
      </w:r>
      <w:bookmarkEnd w:id="20"/>
      <w:bookmarkEnd w:id="21"/>
    </w:p>
    <w:p>
      <w:pPr>
        <w:pStyle w:val="51"/>
        <w:spacing w:line="480" w:lineRule="exact"/>
        <w:ind w:firstLine="480"/>
        <w:rPr>
          <w:rFonts w:cs="Times New Roman"/>
          <w:b/>
          <w:bCs/>
          <w:color w:val="auto"/>
          <w:sz w:val="24"/>
          <w:szCs w:val="24"/>
        </w:rPr>
      </w:pPr>
      <w:r>
        <w:rPr>
          <w:rFonts w:hint="eastAsia" w:cs="Times New Roman"/>
          <w:b/>
          <w:bCs/>
          <w:color w:val="auto"/>
          <w:sz w:val="24"/>
          <w:szCs w:val="24"/>
        </w:rPr>
        <w:t>一、评标办法：综合评分法。</w:t>
      </w:r>
    </w:p>
    <w:p>
      <w:pPr>
        <w:pStyle w:val="51"/>
        <w:spacing w:line="480" w:lineRule="exact"/>
        <w:ind w:firstLine="480"/>
        <w:rPr>
          <w:rFonts w:cs="Times New Roman"/>
          <w:color w:val="auto"/>
          <w:sz w:val="24"/>
          <w:szCs w:val="24"/>
        </w:rPr>
      </w:pPr>
      <w:r>
        <w:rPr>
          <w:rFonts w:hint="eastAsia" w:cs="Times New Roman"/>
          <w:color w:val="auto"/>
          <w:sz w:val="24"/>
          <w:szCs w:val="24"/>
        </w:rPr>
        <w:t>1.为体现公开、公平、公正和择优诚信的原则，根据相关法律法规规定和招标文件约定，本次招标决定采用综合评分法评标，即在最大限度地满足招标文件实质性要求前提下，按照招标文件中规定的各项因素进行综合评审后，以评标总得分最高的投标人作为中标候选人或者中标人的评标方法。</w:t>
      </w:r>
    </w:p>
    <w:p>
      <w:pPr>
        <w:pStyle w:val="51"/>
        <w:spacing w:line="480" w:lineRule="exact"/>
        <w:ind w:firstLine="480"/>
        <w:rPr>
          <w:rFonts w:cs="Times New Roman"/>
          <w:color w:val="auto"/>
          <w:sz w:val="24"/>
          <w:szCs w:val="24"/>
        </w:rPr>
      </w:pPr>
      <w:r>
        <w:rPr>
          <w:rFonts w:hint="eastAsia" w:cs="Times New Roman"/>
          <w:color w:val="auto"/>
          <w:sz w:val="24"/>
          <w:szCs w:val="24"/>
        </w:rPr>
        <w:t>2.任何最低报价及任何单项因素的最优均不是中标的必要条件。评标时，评标委员会各成员独立对每个有效投标人的标书进行评价、打分，然后汇总，按算术平均方法，计算出每个投标人的得分；报价得分通过计算直接取得；报价得分加评委算术平均得分，为投标人的总得分。</w:t>
      </w:r>
    </w:p>
    <w:p>
      <w:pPr>
        <w:pStyle w:val="51"/>
        <w:spacing w:line="480" w:lineRule="exact"/>
        <w:ind w:firstLine="480"/>
        <w:rPr>
          <w:rFonts w:cs="Times New Roman"/>
          <w:color w:val="auto"/>
          <w:sz w:val="24"/>
          <w:szCs w:val="24"/>
        </w:rPr>
      </w:pPr>
      <w:r>
        <w:rPr>
          <w:rFonts w:hint="eastAsia" w:cs="Times New Roman"/>
          <w:color w:val="auto"/>
          <w:sz w:val="24"/>
          <w:szCs w:val="24"/>
        </w:rPr>
        <w:t>3.总得分最高的即为中标候选人。</w:t>
      </w:r>
    </w:p>
    <w:p>
      <w:pPr>
        <w:pStyle w:val="51"/>
        <w:spacing w:line="480" w:lineRule="exact"/>
        <w:ind w:firstLine="480"/>
        <w:rPr>
          <w:rFonts w:cs="Times New Roman"/>
          <w:color w:val="auto"/>
          <w:sz w:val="24"/>
          <w:szCs w:val="24"/>
        </w:rPr>
      </w:pPr>
      <w:r>
        <w:rPr>
          <w:rFonts w:hint="eastAsia" w:cs="Times New Roman"/>
          <w:color w:val="auto"/>
          <w:sz w:val="24"/>
          <w:szCs w:val="24"/>
        </w:rPr>
        <w:t>4.推荐的中标候选人数：1名。</w:t>
      </w:r>
    </w:p>
    <w:p>
      <w:pPr>
        <w:spacing w:line="480" w:lineRule="exact"/>
        <w:ind w:firstLine="472"/>
        <w:rPr>
          <w:rFonts w:hint="eastAsia" w:asciiTheme="minorEastAsia" w:hAnsiTheme="minorEastAsia" w:eastAsiaTheme="minorEastAsia"/>
          <w:b/>
          <w:bCs/>
          <w:color w:val="auto"/>
          <w:spacing w:val="-2"/>
          <w:sz w:val="24"/>
          <w:szCs w:val="20"/>
        </w:rPr>
      </w:pPr>
      <w:r>
        <w:rPr>
          <w:rFonts w:hint="eastAsia" w:asciiTheme="minorEastAsia" w:hAnsiTheme="minorEastAsia" w:eastAsiaTheme="minorEastAsia"/>
          <w:b/>
          <w:bCs/>
          <w:color w:val="auto"/>
          <w:spacing w:val="-2"/>
          <w:sz w:val="24"/>
          <w:szCs w:val="20"/>
        </w:rPr>
        <w:t>二、政府采购政策功能落实</w:t>
      </w:r>
    </w:p>
    <w:p>
      <w:pPr>
        <w:spacing w:line="480" w:lineRule="exact"/>
        <w:ind w:firstLine="472"/>
        <w:rPr>
          <w:rFonts w:hint="eastAsia" w:asciiTheme="minorEastAsia" w:hAnsiTheme="minorEastAsia" w:eastAsiaTheme="minorEastAsia"/>
          <w:color w:val="auto"/>
          <w:spacing w:val="-2"/>
          <w:sz w:val="24"/>
          <w:szCs w:val="20"/>
        </w:rPr>
      </w:pPr>
      <w:r>
        <w:rPr>
          <w:rFonts w:hint="eastAsia" w:asciiTheme="minorEastAsia" w:hAnsiTheme="minorEastAsia" w:eastAsiaTheme="minorEastAsia"/>
          <w:color w:val="auto"/>
          <w:spacing w:val="-2"/>
          <w:sz w:val="24"/>
          <w:szCs w:val="20"/>
        </w:rPr>
        <w:t>因本项目专门面向中小企业采购，不再执行价格评审优惠的扶持政策。</w:t>
      </w:r>
    </w:p>
    <w:p>
      <w:pPr>
        <w:spacing w:line="480" w:lineRule="exact"/>
        <w:ind w:firstLine="472"/>
        <w:rPr>
          <w:rFonts w:asciiTheme="minorEastAsia" w:hAnsiTheme="minorEastAsia" w:eastAsiaTheme="minorEastAsia"/>
          <w:color w:val="auto"/>
          <w:spacing w:val="-2"/>
          <w:sz w:val="24"/>
          <w:szCs w:val="20"/>
        </w:rPr>
      </w:pPr>
      <w:r>
        <w:rPr>
          <w:rFonts w:hint="eastAsia" w:asciiTheme="minorEastAsia" w:hAnsiTheme="minorEastAsia" w:eastAsiaTheme="minorEastAsia"/>
          <w:color w:val="auto"/>
          <w:spacing w:val="-2"/>
          <w:sz w:val="24"/>
          <w:szCs w:val="20"/>
        </w:rPr>
        <w:t>三、符合本采购文件优先采购 “环境标志产品”或“节能产品”的，必须提供</w:t>
      </w:r>
    </w:p>
    <w:p>
      <w:pPr>
        <w:spacing w:line="480" w:lineRule="exact"/>
        <w:ind w:firstLine="472"/>
        <w:rPr>
          <w:rFonts w:hint="eastAsia" w:asciiTheme="minorEastAsia" w:hAnsiTheme="minorEastAsia" w:eastAsiaTheme="minorEastAsia"/>
          <w:b/>
          <w:bCs/>
          <w:color w:val="auto"/>
          <w:spacing w:val="-2"/>
          <w:sz w:val="24"/>
          <w:szCs w:val="20"/>
        </w:rPr>
      </w:pPr>
      <w:r>
        <w:rPr>
          <w:rFonts w:hint="eastAsia" w:asciiTheme="minorEastAsia" w:hAnsiTheme="minorEastAsia" w:eastAsiaTheme="minorEastAsia"/>
          <w:b/>
          <w:bCs/>
          <w:color w:val="auto"/>
          <w:spacing w:val="-2"/>
          <w:sz w:val="24"/>
          <w:szCs w:val="20"/>
        </w:rPr>
        <w:t>“环境标志产品”或“节能产品”证明，否则不予认可。不符合的无需提供相应证明材料。环境标志产品是指列入财政部、环境保护部最新公布的《环境标志产品政府采购清单》内的产品；节能产品是指列入财政部、国家发改委最新公布的《节能产品政府采购清单》内的产品。鼓励节能及环保政策以投标（响应）主要（核心）产品（品牌）为准。</w:t>
      </w:r>
    </w:p>
    <w:p>
      <w:pPr>
        <w:pStyle w:val="51"/>
        <w:spacing w:line="480" w:lineRule="exact"/>
        <w:ind w:firstLine="480"/>
        <w:rPr>
          <w:rFonts w:cs="Times New Roman"/>
          <w:b/>
          <w:bCs/>
          <w:color w:val="auto"/>
          <w:sz w:val="24"/>
          <w:szCs w:val="24"/>
        </w:rPr>
      </w:pPr>
      <w:r>
        <w:rPr>
          <w:rFonts w:hint="eastAsia" w:cs="Times New Roman"/>
          <w:b/>
          <w:bCs/>
          <w:color w:val="auto"/>
          <w:sz w:val="24"/>
          <w:szCs w:val="24"/>
        </w:rPr>
        <w:t>七、评分标准（总分值为100分）</w:t>
      </w:r>
    </w:p>
    <w:tbl>
      <w:tblPr>
        <w:tblStyle w:val="39"/>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34"/>
        <w:gridCol w:w="652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评分项</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评分内容</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w:t>
            </w:r>
          </w:p>
          <w:p>
            <w:pPr>
              <w:keepNext w:val="0"/>
              <w:keepLines w:val="0"/>
              <w:pageBreakBefore w:val="0"/>
              <w:tabs>
                <w:tab w:val="left" w:pos="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(30分)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满足招标文件要求且投标价格最低的有效投标报价为评标基准价，其价格分为满分30分。其他投标人的价格分统一按照下列公式计算：投标报价得分=（评标基准价/投标报价）×30，结果保留两位小数。有效投标文件是指未被评标委员会判定为无效标的投标文件。</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技术与性能的符合性（</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技术要求及相关说明完全满足或高于招标文件要求得满分</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分，低于（负偏离）招标文件要求的根据参数重要性进行扣分，其中标“</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”项为重要参数，每有一项负偏离扣3分，其他的参数有一项负偏离扣1分，所有技术参数如出现10项及以上负偏离的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则不得分</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sz w:val="21"/>
                <w:szCs w:val="21"/>
              </w:rPr>
              <w:t>注：1.技术参数要求提供的证明材料以证明材料复印件加盖投标单位公章为准，其他参数以提供的技术参数响应表加盖投标单位公章为准；2.技术参数中每一小条为一项；3.投标方需在投标文件中清楚标注每一对应项页码，以便评委审核。</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rPr>
              <w:t>业绩案例（</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投标人具有类似项目业绩合同（20</w:t>
            </w:r>
            <w:r>
              <w:rPr>
                <w:rFonts w:hint="eastAsia" w:ascii="宋体" w:hAnsi="宋体" w:eastAsia="宋体" w:cs="宋体"/>
                <w:color w:val="auto"/>
                <w:sz w:val="21"/>
                <w:szCs w:val="21"/>
                <w:shd w:val="clear" w:color="auto" w:fill="FFFFFF"/>
                <w:lang w:val="en-US" w:eastAsia="zh-CN"/>
              </w:rPr>
              <w:t>20</w:t>
            </w:r>
            <w:r>
              <w:rPr>
                <w:rFonts w:hint="eastAsia" w:ascii="宋体" w:hAnsi="宋体" w:eastAsia="宋体" w:cs="宋体"/>
                <w:color w:val="auto"/>
                <w:sz w:val="21"/>
                <w:szCs w:val="21"/>
                <w:shd w:val="clear" w:color="auto" w:fill="FFFFFF"/>
              </w:rPr>
              <w:t>年1月1日以后所签合同），须提供中标通知书、合同原件及竣工验收报告彩色复印件并加盖投标单位公章，有一个得3分，本项最高得</w:t>
            </w:r>
            <w:r>
              <w:rPr>
                <w:rFonts w:hint="eastAsia" w:ascii="宋体" w:hAnsi="宋体" w:eastAsia="宋体" w:cs="宋体"/>
                <w:color w:val="auto"/>
                <w:sz w:val="21"/>
                <w:szCs w:val="21"/>
                <w:shd w:val="clear" w:color="auto" w:fill="FFFFFF"/>
                <w:lang w:val="en-US" w:eastAsia="zh-CN"/>
              </w:rPr>
              <w:t>6</w:t>
            </w:r>
            <w:r>
              <w:rPr>
                <w:rFonts w:hint="eastAsia" w:ascii="宋体" w:hAnsi="宋体" w:eastAsia="宋体" w:cs="宋体"/>
                <w:color w:val="auto"/>
                <w:sz w:val="21"/>
                <w:szCs w:val="21"/>
                <w:shd w:val="clear" w:color="auto" w:fill="FFFFFF"/>
              </w:rPr>
              <w:t>分（所提供业绩合同中必须体现甲乙双方单位名称，否则不得分）。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注：上述类似项目业绩是指投标人所提供的业绩需与本项目采购内容类似的项目业绩。</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企业实力</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6"/>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highlight w:val="none"/>
                <w:lang w:val="en-US"/>
              </w:rPr>
            </w:pPr>
            <w:r>
              <w:rPr>
                <w:rFonts w:hint="eastAsia" w:ascii="宋体" w:hAnsi="宋体" w:eastAsia="宋体" w:cs="宋体"/>
                <w:color w:val="000000"/>
                <w:sz w:val="21"/>
                <w:szCs w:val="21"/>
                <w:highlight w:val="none"/>
                <w:lang w:val="en-US" w:eastAsia="zh-CN"/>
              </w:rPr>
              <w:t>投标人具有ISO9001质量管理体系认证证书，得1分，须提供原件彩色复印件并加盖投标单位公章，不提供不得分；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w:t>
            </w:r>
            <w:r>
              <w:rPr>
                <w:rFonts w:hint="eastAsia" w:ascii="宋体" w:hAnsi="宋体" w:eastAsia="宋体" w:cs="宋体"/>
                <w:sz w:val="21"/>
                <w:szCs w:val="21"/>
              </w:rPr>
              <w:t>具有ISO20000 信息技术服务管理体系认证</w:t>
            </w:r>
            <w:r>
              <w:rPr>
                <w:rFonts w:hint="eastAsia" w:ascii="宋体" w:hAnsi="宋体" w:eastAsia="宋体" w:cs="宋体"/>
                <w:color w:val="auto"/>
                <w:sz w:val="21"/>
                <w:szCs w:val="21"/>
                <w:highlight w:val="none"/>
                <w:lang w:val="en-US" w:eastAsia="zh-CN"/>
              </w:rPr>
              <w:t>得1分，须提供原件彩色复印件并加盖投标单位公章，不提供不得分；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val="en-US" w:eastAsia="zh-CN"/>
              </w:rPr>
              <w:t>3、投标人具有ISO27001信息安全管理体系认证证书得1分，须提供</w:t>
            </w:r>
            <w:r>
              <w:rPr>
                <w:rFonts w:hint="eastAsia" w:ascii="宋体" w:hAnsi="宋体" w:eastAsia="宋体" w:cs="宋体"/>
                <w:color w:val="000000"/>
                <w:sz w:val="21"/>
                <w:szCs w:val="21"/>
                <w:highlight w:val="none"/>
                <w:lang w:val="en-US" w:eastAsia="zh-CN"/>
              </w:rPr>
              <w:t>原件彩色复印件并加盖投标单位公章，不提供不得分；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textAlignment w:val="auto"/>
              <w:rPr>
                <w:rFonts w:hint="eastAsia"/>
                <w:lang w:val="zh-CN"/>
              </w:rPr>
            </w:pPr>
            <w:r>
              <w:rPr>
                <w:rFonts w:hint="eastAsia" w:ascii="宋体" w:hAnsi="宋体" w:eastAsia="宋体" w:cs="宋体"/>
                <w:color w:val="000000"/>
                <w:sz w:val="21"/>
                <w:szCs w:val="21"/>
                <w:highlight w:val="none"/>
                <w:lang w:val="zh-CN" w:eastAsia="zh-CN"/>
              </w:rPr>
              <w:t>注：需提供上述证书的复印件或国家认证认可监督委员会官方网站（www.cnca.gov.cn）截图并加盖投标人公章。</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项目实施方案（</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①评委根据投标人针对本项目安装实施方案、现场安装质量保证措施、项目进度保证措施、现场安全生产保障措施、文明施工的保证措施、配合协调方案等全面性、合理性、可靠性、结构完整性等酌情量化打分，应当将量化指标建立在同一基础或者同一标准上，使各投标文件具有可比性。</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投标人根据本项目</w:t>
            </w:r>
            <w:r>
              <w:rPr>
                <w:rFonts w:hint="eastAsia" w:ascii="宋体" w:hAnsi="宋体" w:eastAsia="宋体" w:cs="宋体"/>
                <w:color w:val="auto"/>
                <w:sz w:val="21"/>
                <w:szCs w:val="21"/>
              </w:rPr>
              <w:t>上述</w:t>
            </w:r>
            <w:r>
              <w:rPr>
                <w:rFonts w:hint="eastAsia" w:ascii="宋体" w:hAnsi="宋体" w:eastAsia="宋体" w:cs="宋体"/>
                <w:color w:val="auto"/>
                <w:sz w:val="21"/>
                <w:szCs w:val="21"/>
                <w:lang w:val="zh-CN"/>
              </w:rPr>
              <w:t>内容全面性、合理性、可靠性、结构完整性等优的得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分；内容全面性、合理性、可靠性、结构完整性等良好的得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分；内容全面性、合理性、可靠性、结构完整性等一般的得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分；未提供的不得分。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②评委根据投标人对综合考虑各方因素，包括人员配置、责任分工、项目进度、现场管理等酌情量化打分，应当将量化指标建立在同一基础或者同一标准上，使各投标文件具有可比性。</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投标人根据本项目方案优秀合理、可行性强且具有针对性的得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 xml:space="preserve">分；投标人根据本项目方案概述较好，满足项目需求的得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分；投标人根据本项目方案表述一般、基本合理可行的的得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分；未提供的不得分。</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售后服务方案（</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评标委员会根据各投标人提供的售后服务方案（包括售后服务保证措施和解决问题的能力、紧急处理预案、响应时间、售后服务的优惠措施等内容）进行横向比较后进行量化打分，将量化指标建立在同一基础或者同一标准上，使各投标文件具有可比性。</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投标人提供的售后服务保证措施和解决问题的能力、紧急处理预案、响应时间、售后服务的优惠措施方案全面合理的，优秀的得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.0分，良好的得</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val="zh-CN"/>
              </w:rPr>
              <w:t>分，一般的得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分，不提供不得分；</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0"/>
              </w:tabs>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shd w:val="clear" w:color="auto" w:fill="FFFFFF"/>
              </w:rPr>
            </w:pPr>
          </w:p>
        </w:tc>
      </w:tr>
    </w:tbl>
    <w:p>
      <w:pPr>
        <w:pStyle w:val="52"/>
        <w:rPr>
          <w:rFonts w:eastAsiaTheme="minorEastAsia"/>
          <w:color w:val="auto"/>
        </w:rPr>
      </w:pPr>
    </w:p>
    <w:p>
      <w:pPr>
        <w:pStyle w:val="51"/>
        <w:rPr>
          <w:color w:val="auto"/>
        </w:rPr>
      </w:pPr>
    </w:p>
    <w:p>
      <w:pPr>
        <w:widowControl/>
        <w:jc w:val="left"/>
        <w:rPr>
          <w:rFonts w:ascii="宋体" w:hAnsi="宋体" w:cs="宋体"/>
          <w:b/>
          <w:color w:val="auto"/>
          <w:sz w:val="32"/>
          <w:szCs w:val="32"/>
        </w:rPr>
      </w:pPr>
      <w:bookmarkStart w:id="22" w:name="_Toc120519616"/>
      <w:bookmarkStart w:id="23" w:name="_Toc130206650"/>
      <w:r>
        <w:rPr>
          <w:rFonts w:hAnsi="宋体" w:cs="宋体"/>
          <w:b/>
          <w:color w:val="auto"/>
          <w:sz w:val="32"/>
          <w:szCs w:val="32"/>
        </w:rPr>
        <w:br w:type="page" w:clear="all"/>
      </w:r>
    </w:p>
    <w:p>
      <w:pPr>
        <w:pStyle w:val="21"/>
        <w:spacing w:line="480" w:lineRule="exact"/>
        <w:jc w:val="center"/>
        <w:outlineLvl w:val="0"/>
        <w:rPr>
          <w:rFonts w:hAnsi="宋体" w:cs="宋体"/>
          <w:b/>
          <w:color w:val="auto"/>
          <w:sz w:val="32"/>
          <w:szCs w:val="32"/>
        </w:rPr>
      </w:pPr>
      <w:r>
        <w:rPr>
          <w:rFonts w:hint="eastAsia" w:hAnsi="宋体" w:cs="宋体"/>
          <w:b/>
          <w:color w:val="auto"/>
          <w:sz w:val="32"/>
          <w:szCs w:val="32"/>
        </w:rPr>
        <w:t>第五章 合同主要条款</w:t>
      </w:r>
      <w:bookmarkEnd w:id="22"/>
      <w:bookmarkEnd w:id="23"/>
    </w:p>
    <w:p>
      <w:pPr>
        <w:spacing w:line="460" w:lineRule="exact"/>
        <w:ind w:firstLine="480"/>
        <w:rPr>
          <w:rFonts w:ascii="宋体" w:hAnsi="宋体"/>
          <w:color w:val="auto"/>
          <w:sz w:val="24"/>
          <w:szCs w:val="20"/>
        </w:rPr>
      </w:pPr>
      <w:r>
        <w:rPr>
          <w:rFonts w:hint="eastAsia" w:ascii="宋体" w:hAnsi="宋体"/>
          <w:color w:val="auto"/>
          <w:sz w:val="24"/>
          <w:szCs w:val="20"/>
        </w:rPr>
        <w:t>采购人（全称）：</w:t>
      </w:r>
      <w:r>
        <w:rPr>
          <w:rFonts w:hint="eastAsia" w:ascii="宋体" w:hAnsi="宋体"/>
          <w:color w:val="auto"/>
          <w:sz w:val="24"/>
          <w:szCs w:val="20"/>
          <w:u w:val="single"/>
        </w:rPr>
        <w:t xml:space="preserve"> 建湖县公安局 </w:t>
      </w:r>
      <w:r>
        <w:rPr>
          <w:rFonts w:hint="eastAsia" w:ascii="宋体" w:hAnsi="宋体"/>
          <w:color w:val="auto"/>
          <w:sz w:val="24"/>
          <w:szCs w:val="20"/>
        </w:rPr>
        <w:t>（以下简称甲方）</w:t>
      </w:r>
    </w:p>
    <w:p>
      <w:pPr>
        <w:spacing w:line="460" w:lineRule="exact"/>
        <w:ind w:firstLine="480"/>
        <w:rPr>
          <w:rFonts w:ascii="宋体" w:hAnsi="宋体"/>
          <w:color w:val="auto"/>
          <w:sz w:val="24"/>
          <w:szCs w:val="20"/>
          <w:u w:val="single"/>
        </w:rPr>
      </w:pPr>
      <w:r>
        <w:rPr>
          <w:rFonts w:hint="eastAsia" w:ascii="宋体" w:hAnsi="宋体"/>
          <w:color w:val="auto"/>
          <w:sz w:val="24"/>
          <w:szCs w:val="20"/>
        </w:rPr>
        <w:t>中标人（全称）：</w:t>
      </w:r>
      <w:r>
        <w:rPr>
          <w:rFonts w:hint="eastAsia" w:ascii="宋体" w:hAnsi="宋体"/>
          <w:color w:val="auto"/>
          <w:sz w:val="24"/>
          <w:szCs w:val="20"/>
          <w:u w:val="single"/>
        </w:rPr>
        <w:t xml:space="preserve">              </w:t>
      </w:r>
      <w:r>
        <w:rPr>
          <w:rFonts w:hint="eastAsia" w:ascii="宋体" w:hAnsi="宋体"/>
          <w:color w:val="auto"/>
          <w:sz w:val="24"/>
          <w:szCs w:val="20"/>
        </w:rPr>
        <w:t>（以下简称乙方）</w:t>
      </w:r>
    </w:p>
    <w:p>
      <w:pPr>
        <w:spacing w:line="460" w:lineRule="exact"/>
        <w:ind w:firstLine="475"/>
        <w:rPr>
          <w:rFonts w:ascii="宋体" w:hAnsi="宋体"/>
          <w:color w:val="auto"/>
          <w:sz w:val="24"/>
          <w:szCs w:val="20"/>
        </w:rPr>
      </w:pPr>
      <w:r>
        <w:rPr>
          <w:rFonts w:hint="eastAsia" w:ascii="宋体" w:hAnsi="宋体"/>
          <w:color w:val="auto"/>
          <w:sz w:val="24"/>
          <w:szCs w:val="20"/>
        </w:rPr>
        <w:t>依照《中华人民共和国政府采购法》、《中华人民共和国</w:t>
      </w:r>
      <w:r>
        <w:rPr>
          <w:rFonts w:hint="eastAsia" w:ascii="宋体" w:hAnsi="宋体"/>
          <w:color w:val="auto"/>
          <w:sz w:val="24"/>
          <w:szCs w:val="20"/>
          <w:lang w:eastAsia="zh-CN"/>
        </w:rPr>
        <w:t>民法典</w:t>
      </w:r>
      <w:r>
        <w:rPr>
          <w:rFonts w:hint="eastAsia" w:ascii="宋体" w:hAnsi="宋体"/>
          <w:color w:val="auto"/>
          <w:sz w:val="24"/>
          <w:szCs w:val="20"/>
        </w:rPr>
        <w:t>》及其他相关法律法规，遵循平等、自愿、公平和诚实信用原则，双方就</w:t>
      </w:r>
      <w:r>
        <w:rPr>
          <w:rFonts w:hint="eastAsia" w:ascii="宋体" w:hAnsi="宋体"/>
          <w:b/>
          <w:bCs/>
          <w:color w:val="auto"/>
          <w:sz w:val="24"/>
          <w:szCs w:val="20"/>
          <w:u w:val="single"/>
          <w:lang w:eastAsia="zh-CN"/>
        </w:rPr>
        <w:t>建湖县公安局智能枪弹库建设采购项目</w:t>
      </w:r>
      <w:r>
        <w:rPr>
          <w:rFonts w:hint="eastAsia" w:ascii="宋体" w:hAnsi="宋体"/>
          <w:color w:val="auto"/>
          <w:sz w:val="24"/>
          <w:szCs w:val="20"/>
        </w:rPr>
        <w:t>相关事项协商一致，达成如下合同条款：</w:t>
      </w:r>
    </w:p>
    <w:p>
      <w:pPr>
        <w:spacing w:line="460" w:lineRule="exact"/>
        <w:ind w:firstLine="482"/>
        <w:rPr>
          <w:rFonts w:ascii="宋体" w:hAnsi="宋体"/>
          <w:b/>
          <w:color w:val="auto"/>
          <w:sz w:val="24"/>
          <w:szCs w:val="20"/>
        </w:rPr>
      </w:pPr>
      <w:r>
        <w:rPr>
          <w:rFonts w:hint="eastAsia" w:ascii="宋体" w:hAnsi="宋体"/>
          <w:b/>
          <w:color w:val="auto"/>
          <w:sz w:val="24"/>
          <w:szCs w:val="20"/>
        </w:rPr>
        <w:t>一、合同标的</w:t>
      </w:r>
    </w:p>
    <w:p>
      <w:pPr>
        <w:spacing w:line="460" w:lineRule="exact"/>
        <w:ind w:firstLine="470"/>
        <w:rPr>
          <w:rFonts w:ascii="宋体" w:hAnsi="宋体"/>
          <w:color w:val="auto"/>
          <w:sz w:val="24"/>
          <w:szCs w:val="20"/>
        </w:rPr>
      </w:pPr>
      <w:r>
        <w:rPr>
          <w:rFonts w:hint="eastAsia" w:ascii="宋体" w:hAnsi="宋体"/>
          <w:color w:val="auto"/>
          <w:sz w:val="24"/>
          <w:szCs w:val="20"/>
        </w:rPr>
        <w:t>1.中标价即为合同价。</w:t>
      </w:r>
    </w:p>
    <w:p>
      <w:pPr>
        <w:spacing w:line="460" w:lineRule="exact"/>
        <w:ind w:firstLine="480"/>
        <w:rPr>
          <w:rFonts w:ascii="宋体" w:hAnsi="宋体"/>
          <w:b/>
          <w:color w:val="auto"/>
          <w:sz w:val="24"/>
          <w:szCs w:val="20"/>
        </w:rPr>
      </w:pPr>
      <w:r>
        <w:rPr>
          <w:rFonts w:hint="eastAsia" w:ascii="宋体" w:hAnsi="宋体"/>
          <w:color w:val="auto"/>
          <w:sz w:val="24"/>
          <w:szCs w:val="20"/>
        </w:rPr>
        <w:t>2.</w:t>
      </w:r>
      <w:r>
        <w:rPr>
          <w:rFonts w:hint="eastAsia" w:ascii="宋体" w:hAnsi="宋体" w:cs="宋体"/>
          <w:color w:val="auto"/>
          <w:sz w:val="24"/>
          <w:szCs w:val="24"/>
        </w:rPr>
        <w:t>乙方在签订合同时，须向甲方交纳中标价5%的履约保证金，于合同履行后退还。履约保证金用以约束成交供应商在合同履行中的行为，弥补合同执行中由于自身行为可能给采购人带来的各种损失。对提供第三方信用服务机构依据标准规范评定为AA级及以上的政府采购供应商（须在签订采购合同前提供信用管理部门备案的第三方信用报告，且信用报告通过“信用盐城网”可查实）向甲方交纳中标价2.5%的履约保证金。</w:t>
      </w:r>
    </w:p>
    <w:p>
      <w:pPr>
        <w:spacing w:line="460" w:lineRule="exact"/>
        <w:ind w:firstLine="470"/>
        <w:rPr>
          <w:rFonts w:ascii="宋体" w:hAnsi="宋体"/>
          <w:b/>
          <w:color w:val="auto"/>
          <w:sz w:val="24"/>
          <w:szCs w:val="20"/>
        </w:rPr>
      </w:pPr>
      <w:r>
        <w:rPr>
          <w:rFonts w:hint="eastAsia" w:ascii="宋体" w:hAnsi="宋体" w:cs="宋体"/>
          <w:color w:val="auto"/>
          <w:sz w:val="24"/>
          <w:szCs w:val="20"/>
        </w:rPr>
        <w:t>本项目履约保证金在供货期满后15日内退回，乙方向甲方提交履约保证金退还申请经甲方同意后退还履约保证金。乙方不履行与甲方订立的合同的，履约保证金不予退还，给甲方造成的损失超过履约保证金数额的，还应当对超过部分予以赔偿；没有提交履约保证金的，应当对甲方的损失承担赔偿责任。甲方逾期退还履约保证金的，应当对乙方的损失承担赔偿责任</w:t>
      </w:r>
      <w:r>
        <w:rPr>
          <w:rFonts w:hint="eastAsia" w:ascii="宋体" w:hAnsi="宋体"/>
          <w:color w:val="auto"/>
          <w:sz w:val="24"/>
          <w:szCs w:val="20"/>
        </w:rPr>
        <w:t>。</w:t>
      </w:r>
    </w:p>
    <w:p>
      <w:pPr>
        <w:spacing w:line="460" w:lineRule="exact"/>
        <w:ind w:firstLine="472"/>
        <w:rPr>
          <w:rFonts w:ascii="宋体" w:hAnsi="宋体"/>
          <w:b/>
          <w:color w:val="auto"/>
          <w:sz w:val="24"/>
          <w:szCs w:val="20"/>
        </w:rPr>
      </w:pPr>
      <w:r>
        <w:rPr>
          <w:rFonts w:hint="eastAsia" w:ascii="宋体" w:hAnsi="宋体"/>
          <w:b/>
          <w:color w:val="auto"/>
          <w:sz w:val="24"/>
          <w:szCs w:val="20"/>
        </w:rPr>
        <w:t>二、质量保证</w:t>
      </w:r>
    </w:p>
    <w:p>
      <w:pPr>
        <w:spacing w:line="460" w:lineRule="exact"/>
        <w:ind w:firstLine="470"/>
        <w:rPr>
          <w:rFonts w:ascii="宋体" w:hAnsi="宋体" w:cs="宋体"/>
          <w:bCs/>
          <w:color w:val="auto"/>
          <w:sz w:val="24"/>
          <w:szCs w:val="20"/>
        </w:rPr>
      </w:pPr>
      <w:r>
        <w:rPr>
          <w:rFonts w:hint="eastAsia" w:ascii="宋体" w:hAnsi="宋体" w:cs="宋体"/>
          <w:bCs/>
          <w:color w:val="auto"/>
          <w:sz w:val="24"/>
          <w:szCs w:val="20"/>
        </w:rPr>
        <w:t>1.乙方提供的产品性能及质量应符合国家标准并满足招标文件规定的相关质量技术要求，实现乙方的投标承诺书条款。</w:t>
      </w:r>
    </w:p>
    <w:p>
      <w:pPr>
        <w:spacing w:line="460" w:lineRule="exact"/>
        <w:ind w:firstLine="475"/>
        <w:rPr>
          <w:rFonts w:ascii="宋体" w:hAnsi="宋体" w:cs="宋体"/>
          <w:bCs/>
          <w:color w:val="auto"/>
          <w:sz w:val="24"/>
          <w:szCs w:val="20"/>
        </w:rPr>
      </w:pPr>
      <w:r>
        <w:rPr>
          <w:rFonts w:hint="eastAsia" w:ascii="宋体" w:hAnsi="宋体" w:cs="宋体"/>
          <w:bCs/>
          <w:color w:val="auto"/>
          <w:sz w:val="24"/>
          <w:szCs w:val="20"/>
        </w:rPr>
        <w:t>2.具体标准详见招标文件中技术参数要求部分。</w:t>
      </w:r>
    </w:p>
    <w:p>
      <w:pPr>
        <w:widowControl/>
        <w:spacing w:line="460" w:lineRule="exact"/>
        <w:ind w:firstLine="470"/>
        <w:rPr>
          <w:rFonts w:ascii="宋体" w:hAnsi="宋体" w:cs="宋体"/>
          <w:b/>
          <w:color w:val="auto"/>
          <w:sz w:val="24"/>
          <w:szCs w:val="20"/>
        </w:rPr>
      </w:pPr>
      <w:r>
        <w:rPr>
          <w:rFonts w:hint="eastAsia" w:ascii="宋体" w:hAnsi="宋体" w:cs="宋体"/>
          <w:b/>
          <w:color w:val="auto"/>
          <w:sz w:val="24"/>
          <w:szCs w:val="20"/>
        </w:rPr>
        <w:t>三、产品的运输方式、费用负担及保险</w:t>
      </w:r>
    </w:p>
    <w:p>
      <w:pPr>
        <w:widowControl/>
        <w:spacing w:line="460" w:lineRule="exact"/>
        <w:ind w:firstLine="473"/>
        <w:rPr>
          <w:rFonts w:ascii="宋体" w:hAnsi="宋体" w:cs="宋体"/>
          <w:color w:val="auto"/>
          <w:sz w:val="24"/>
          <w:szCs w:val="20"/>
        </w:rPr>
      </w:pPr>
      <w:r>
        <w:rPr>
          <w:rFonts w:hint="eastAsia" w:ascii="宋体" w:hAnsi="宋体" w:cs="宋体"/>
          <w:color w:val="auto"/>
          <w:sz w:val="24"/>
          <w:szCs w:val="20"/>
        </w:rPr>
        <w:t>乙方负责交货前产品的运输及保险，费用由乙方承担。乙方保证用最快捷与安全可靠的方式进行运输。产品运抵交货地点平稳摆放前产生的毁损、灭失风险均由乙方承担。</w:t>
      </w:r>
    </w:p>
    <w:p>
      <w:pPr>
        <w:widowControl/>
        <w:spacing w:line="460" w:lineRule="exact"/>
        <w:ind w:firstLine="472"/>
        <w:rPr>
          <w:rFonts w:ascii="宋体" w:hAnsi="宋体" w:cs="宋体"/>
          <w:color w:val="auto"/>
          <w:sz w:val="24"/>
          <w:szCs w:val="20"/>
        </w:rPr>
      </w:pPr>
      <w:r>
        <w:rPr>
          <w:rFonts w:hint="eastAsia" w:ascii="宋体" w:hAnsi="宋体" w:cs="宋体"/>
          <w:b/>
          <w:color w:val="auto"/>
          <w:sz w:val="24"/>
          <w:szCs w:val="20"/>
        </w:rPr>
        <w:t>四、交付与验收</w:t>
      </w:r>
    </w:p>
    <w:p>
      <w:pPr>
        <w:spacing w:line="460" w:lineRule="exact"/>
        <w:ind w:firstLine="475"/>
        <w:rPr>
          <w:rFonts w:ascii="宋体" w:hAnsi="宋体" w:cs="宋体"/>
          <w:bCs/>
          <w:color w:val="auto"/>
          <w:sz w:val="24"/>
          <w:szCs w:val="20"/>
          <w:shd w:val="clear" w:color="auto" w:fill="FFFFFF"/>
        </w:rPr>
      </w:pPr>
      <w:r>
        <w:rPr>
          <w:rFonts w:hint="eastAsia" w:ascii="宋体" w:hAnsi="宋体" w:cs="宋体"/>
          <w:bCs/>
          <w:color w:val="auto"/>
          <w:sz w:val="24"/>
          <w:szCs w:val="20"/>
        </w:rPr>
        <w:t>1.交付时间：合同签订后</w:t>
      </w:r>
      <w:r>
        <w:rPr>
          <w:rFonts w:hint="eastAsia" w:ascii="宋体" w:hAnsi="宋体" w:cs="宋体"/>
          <w:bCs/>
          <w:color w:val="auto"/>
          <w:sz w:val="24"/>
          <w:szCs w:val="20"/>
          <w:u w:val="single"/>
        </w:rPr>
        <w:t>30</w:t>
      </w:r>
      <w:r>
        <w:rPr>
          <w:rFonts w:hint="eastAsia" w:ascii="宋体" w:hAnsi="宋体" w:cs="宋体"/>
          <w:bCs/>
          <w:color w:val="auto"/>
          <w:sz w:val="24"/>
          <w:szCs w:val="20"/>
        </w:rPr>
        <w:t>个日历天内完成全部供货、安装、调试并经验收合格。</w:t>
      </w:r>
    </w:p>
    <w:p>
      <w:pPr>
        <w:spacing w:line="460" w:lineRule="exact"/>
        <w:ind w:firstLine="475"/>
        <w:rPr>
          <w:rFonts w:ascii="宋体" w:hAnsi="宋体" w:cs="宋体"/>
          <w:bCs/>
          <w:color w:val="auto"/>
          <w:sz w:val="24"/>
          <w:szCs w:val="20"/>
        </w:rPr>
      </w:pPr>
      <w:r>
        <w:rPr>
          <w:rFonts w:hint="eastAsia" w:ascii="宋体" w:hAnsi="宋体" w:cs="宋体"/>
          <w:bCs/>
          <w:color w:val="auto"/>
          <w:sz w:val="24"/>
          <w:szCs w:val="20"/>
        </w:rPr>
        <w:t xml:space="preserve">  交付地点：采购人指定地点。</w:t>
      </w:r>
    </w:p>
    <w:p>
      <w:pPr>
        <w:spacing w:line="460" w:lineRule="exact"/>
        <w:ind w:firstLine="475"/>
        <w:rPr>
          <w:rFonts w:ascii="宋体" w:hAnsi="宋体" w:cs="宋体"/>
          <w:bCs/>
          <w:color w:val="auto"/>
          <w:sz w:val="24"/>
          <w:szCs w:val="20"/>
        </w:rPr>
      </w:pPr>
      <w:r>
        <w:rPr>
          <w:rFonts w:hint="eastAsia" w:ascii="宋体" w:hAnsi="宋体" w:cs="宋体"/>
          <w:bCs/>
          <w:color w:val="auto"/>
          <w:sz w:val="24"/>
          <w:szCs w:val="20"/>
        </w:rPr>
        <w:t>2.乙方按照本合同或招标文件规定的时间和方式向甲方交付货物，交付地点由甲方指定。货物的验收包括型号、规格、数量、外观质量及包装、货物的装箱清单、用户手册、原厂保修卡、随货物资料及配件工具。</w:t>
      </w:r>
    </w:p>
    <w:p>
      <w:pPr>
        <w:widowControl/>
        <w:tabs>
          <w:tab w:val="left" w:pos="7560"/>
        </w:tabs>
        <w:spacing w:line="460" w:lineRule="exact"/>
        <w:ind w:firstLine="470"/>
        <w:jc w:val="left"/>
        <w:rPr>
          <w:rFonts w:ascii="宋体" w:hAnsi="宋体" w:cs="宋体"/>
          <w:bCs/>
          <w:color w:val="auto"/>
          <w:sz w:val="24"/>
          <w:szCs w:val="20"/>
        </w:rPr>
      </w:pPr>
      <w:r>
        <w:rPr>
          <w:rFonts w:hint="eastAsia" w:ascii="宋体" w:hAnsi="宋体" w:cs="宋体"/>
          <w:bCs/>
          <w:color w:val="auto"/>
          <w:sz w:val="24"/>
          <w:szCs w:val="20"/>
        </w:rPr>
        <w:t>3.在交货前，乙方应对所供货物的质量、规格、性能、数量等进行详细而全面的检验，并出具一份合格检验证明，合格检验证明作为甲方验收的依据，但不能作为有关货物质量、规格、数量或性能的最终检验结果。</w:t>
      </w:r>
    </w:p>
    <w:p>
      <w:pPr>
        <w:spacing w:line="460" w:lineRule="exact"/>
        <w:ind w:firstLine="470"/>
        <w:rPr>
          <w:rFonts w:ascii="宋体" w:hAnsi="宋体" w:cs="宋体"/>
          <w:bCs/>
          <w:color w:val="auto"/>
          <w:sz w:val="24"/>
          <w:szCs w:val="20"/>
        </w:rPr>
      </w:pPr>
      <w:r>
        <w:rPr>
          <w:rFonts w:hint="eastAsia" w:ascii="宋体" w:hAnsi="宋体" w:cs="宋体"/>
          <w:bCs/>
          <w:color w:val="auto"/>
          <w:sz w:val="24"/>
          <w:szCs w:val="20"/>
        </w:rPr>
        <w:t>4.甲方根据合同规定的内容和国家标准进行验收，同时比较乙方出具的检验证明，经检验无误后由甲方出具验收合格证明加盖单位公章，该证明作为最终付款所需文件的组成部分。</w:t>
      </w:r>
    </w:p>
    <w:p>
      <w:pPr>
        <w:spacing w:line="460" w:lineRule="exact"/>
        <w:ind w:firstLine="480"/>
        <w:rPr>
          <w:rFonts w:ascii="宋体" w:hAnsi="宋体" w:cs="宋体"/>
          <w:bCs/>
          <w:color w:val="auto"/>
          <w:sz w:val="24"/>
          <w:szCs w:val="20"/>
        </w:rPr>
      </w:pPr>
      <w:r>
        <w:rPr>
          <w:rFonts w:hint="eastAsia" w:ascii="宋体" w:hAnsi="宋体" w:cs="宋体"/>
          <w:bCs/>
          <w:color w:val="auto"/>
          <w:sz w:val="24"/>
          <w:szCs w:val="20"/>
        </w:rPr>
        <w:t>5.甲方在验收中，如果发现产品的品种、规格、质量不合规定的情况，应妥为保管，同时甲方应在 7 天内向乙方提出书面异议。在此期间，甲方有权拒付不符合合同规定部分的货款。甲方怠于通知或者自产品收到之日起超过两天未通知乙方的，视为产品合乎规定。乙方在接到甲方书面异议后，应在 7 天内负责处理。</w:t>
      </w:r>
    </w:p>
    <w:p>
      <w:pPr>
        <w:spacing w:line="460" w:lineRule="exact"/>
        <w:ind w:firstLine="480"/>
        <w:rPr>
          <w:rFonts w:ascii="宋体" w:hAnsi="宋体" w:cs="宋体"/>
          <w:bCs/>
          <w:color w:val="auto"/>
          <w:sz w:val="24"/>
          <w:szCs w:val="20"/>
        </w:rPr>
      </w:pPr>
      <w:r>
        <w:rPr>
          <w:rFonts w:hint="eastAsia" w:ascii="宋体" w:hAnsi="宋体"/>
          <w:bCs/>
          <w:color w:val="auto"/>
          <w:sz w:val="24"/>
          <w:szCs w:val="20"/>
        </w:rPr>
        <w:t>6.</w:t>
      </w:r>
      <w:r>
        <w:rPr>
          <w:rFonts w:hint="eastAsia" w:ascii="宋体" w:hAnsi="宋体" w:cs="宋体"/>
          <w:bCs/>
          <w:color w:val="auto"/>
          <w:sz w:val="24"/>
          <w:szCs w:val="20"/>
        </w:rPr>
        <w:t>采购人或者采购代理机构应当按照政府采购合同规定的技术、服务、安全标准组织对供应商履约情况进行验收，并出具验收书。验收书应当包括每一项技术、服务、安全标准的履约情况。</w:t>
      </w:r>
    </w:p>
    <w:p>
      <w:pPr>
        <w:spacing w:line="460" w:lineRule="exact"/>
        <w:ind w:firstLine="472"/>
        <w:rPr>
          <w:rFonts w:ascii="宋体" w:hAnsi="宋体" w:cs="宋体"/>
          <w:b/>
          <w:color w:val="auto"/>
          <w:sz w:val="24"/>
          <w:szCs w:val="20"/>
        </w:rPr>
      </w:pPr>
      <w:r>
        <w:rPr>
          <w:rFonts w:hint="eastAsia" w:ascii="宋体" w:hAnsi="宋体" w:cs="宋体"/>
          <w:b/>
          <w:color w:val="auto"/>
          <w:sz w:val="24"/>
          <w:szCs w:val="20"/>
        </w:rPr>
        <w:t>五、售后服务</w:t>
      </w:r>
    </w:p>
    <w:p>
      <w:pPr>
        <w:widowControl/>
        <w:spacing w:line="460" w:lineRule="exact"/>
        <w:ind w:firstLine="470"/>
        <w:rPr>
          <w:rFonts w:ascii="宋体" w:hAnsi="宋体" w:cs="宋体"/>
          <w:color w:val="auto"/>
          <w:sz w:val="24"/>
          <w:szCs w:val="20"/>
        </w:rPr>
      </w:pPr>
      <w:r>
        <w:rPr>
          <w:rFonts w:hint="eastAsia" w:ascii="宋体" w:hAnsi="宋体" w:cs="宋体"/>
          <w:color w:val="auto"/>
          <w:sz w:val="24"/>
          <w:szCs w:val="20"/>
        </w:rPr>
        <w:t>1.乙方承诺所投产品免费原厂质保期为</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一</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rPr>
        <w:t>。免费质保期间出现的问题，在2小时内响应，12个小时内到达现场，48小时内修复。如需要更换设备或送修，必须在7个工作日内完成，并提供备品。</w:t>
      </w:r>
    </w:p>
    <w:p>
      <w:pPr>
        <w:widowControl/>
        <w:spacing w:line="460" w:lineRule="exact"/>
        <w:ind w:firstLine="470"/>
        <w:rPr>
          <w:rFonts w:ascii="宋体" w:hAnsi="宋体" w:cs="宋体"/>
          <w:color w:val="auto"/>
          <w:sz w:val="24"/>
          <w:szCs w:val="20"/>
        </w:rPr>
      </w:pPr>
      <w:r>
        <w:rPr>
          <w:rFonts w:hint="eastAsia" w:ascii="宋体" w:hAnsi="宋体" w:cs="宋体"/>
          <w:color w:val="auto"/>
          <w:sz w:val="24"/>
          <w:szCs w:val="20"/>
        </w:rPr>
        <w:t>2.乙方应严格执行厂家的保修规定，质量保证期满后，产品须维修的，供货方或生产方应本着微利服务原则，按最低价格收取维修费用。</w:t>
      </w:r>
    </w:p>
    <w:p>
      <w:pPr>
        <w:widowControl/>
        <w:spacing w:line="460" w:lineRule="exact"/>
        <w:ind w:firstLine="472"/>
        <w:rPr>
          <w:rFonts w:ascii="宋体" w:hAnsi="宋体" w:cs="宋体"/>
          <w:b/>
          <w:color w:val="auto"/>
          <w:sz w:val="24"/>
          <w:szCs w:val="20"/>
        </w:rPr>
      </w:pPr>
      <w:r>
        <w:rPr>
          <w:rFonts w:hint="eastAsia" w:ascii="宋体" w:hAnsi="宋体" w:cs="宋体"/>
          <w:b/>
          <w:color w:val="auto"/>
          <w:sz w:val="24"/>
          <w:szCs w:val="20"/>
        </w:rPr>
        <w:t>六、结算方式及期限</w:t>
      </w:r>
    </w:p>
    <w:p>
      <w:pPr>
        <w:spacing w:line="480" w:lineRule="exact"/>
        <w:ind w:firstLine="480"/>
        <w:rPr>
          <w:rFonts w:ascii="宋体" w:hAnsi="宋体" w:cs="宋体"/>
          <w:bCs/>
          <w:color w:val="auto"/>
          <w:sz w:val="24"/>
          <w:szCs w:val="24"/>
        </w:rPr>
      </w:pPr>
      <w:r>
        <w:rPr>
          <w:rFonts w:hint="eastAsia" w:ascii="宋体" w:hAnsi="宋体" w:cs="宋体"/>
          <w:bCs/>
          <w:color w:val="auto"/>
          <w:sz w:val="24"/>
          <w:szCs w:val="24"/>
        </w:rPr>
        <w:t>1.结付程序：乙方按本合同内容合格地履行供货义务后，凭验收报告、销售发票办理货款结算手续。</w:t>
      </w:r>
    </w:p>
    <w:p>
      <w:pPr>
        <w:spacing w:line="480" w:lineRule="exact"/>
        <w:ind w:firstLine="473"/>
        <w:rPr>
          <w:rFonts w:ascii="宋体" w:hAnsi="宋体" w:cs="宋体"/>
          <w:bCs/>
          <w:color w:val="auto"/>
          <w:sz w:val="24"/>
          <w:szCs w:val="24"/>
          <w:highlight w:val="none"/>
        </w:rPr>
      </w:pPr>
      <w:r>
        <w:rPr>
          <w:rFonts w:hint="eastAsia" w:ascii="宋体" w:hAnsi="宋体" w:cs="宋体"/>
          <w:bCs/>
          <w:color w:val="auto"/>
          <w:sz w:val="24"/>
          <w:szCs w:val="24"/>
          <w:highlight w:val="none"/>
        </w:rPr>
        <w:t>2.结付方式及期限：</w:t>
      </w:r>
    </w:p>
    <w:p>
      <w:pPr>
        <w:spacing w:line="460" w:lineRule="exact"/>
        <w:ind w:firstLine="480"/>
        <w:rPr>
          <w:rFonts w:ascii="宋体" w:hAnsi="宋体" w:cs="宋体"/>
          <w:b/>
          <w:color w:val="auto"/>
          <w:sz w:val="24"/>
          <w:szCs w:val="20"/>
        </w:rPr>
      </w:pPr>
      <w:r>
        <w:rPr>
          <w:rFonts w:hint="eastAsia" w:ascii="宋体" w:hAnsi="宋体" w:cs="宋体"/>
          <w:color w:val="auto"/>
          <w:sz w:val="24"/>
          <w:szCs w:val="24"/>
        </w:rPr>
        <w:t>项目付款分期进行，该项目以审计结果作为结算依据。合同签订后由乙方向甲方申请预支付合同金额的30%，货到指定地点安装结束投入使用，经相关部门验收合格后年底前支付合同总价的</w:t>
      </w:r>
      <w:r>
        <w:rPr>
          <w:rFonts w:hint="eastAsia" w:ascii="宋体" w:hAnsi="宋体" w:cs="宋体"/>
          <w:color w:val="auto"/>
          <w:sz w:val="24"/>
          <w:szCs w:val="24"/>
          <w:lang w:val="en-US" w:eastAsia="zh-CN"/>
        </w:rPr>
        <w:t>6</w:t>
      </w:r>
      <w:r>
        <w:rPr>
          <w:rFonts w:hint="eastAsia" w:ascii="宋体" w:hAnsi="宋体" w:cs="宋体"/>
          <w:color w:val="auto"/>
          <w:sz w:val="24"/>
          <w:szCs w:val="24"/>
        </w:rPr>
        <w:t>0%，经审计</w:t>
      </w:r>
      <w:r>
        <w:rPr>
          <w:rFonts w:hint="eastAsia" w:ascii="宋体" w:hAnsi="宋体" w:cs="宋体"/>
          <w:color w:val="auto"/>
          <w:sz w:val="24"/>
          <w:szCs w:val="24"/>
          <w:lang w:eastAsia="zh-CN"/>
        </w:rPr>
        <w:t>并质保期满</w:t>
      </w:r>
      <w:r>
        <w:rPr>
          <w:rFonts w:hint="eastAsia" w:ascii="宋体" w:hAnsi="宋体" w:cs="宋体"/>
          <w:color w:val="auto"/>
          <w:sz w:val="24"/>
          <w:szCs w:val="24"/>
        </w:rPr>
        <w:t>后</w:t>
      </w:r>
      <w:r>
        <w:rPr>
          <w:rFonts w:hint="eastAsia" w:ascii="宋体" w:hAnsi="宋体" w:cs="宋体"/>
          <w:color w:val="auto"/>
          <w:sz w:val="24"/>
          <w:szCs w:val="24"/>
          <w:lang w:eastAsia="zh-CN"/>
        </w:rPr>
        <w:t>年底前</w:t>
      </w:r>
      <w:r>
        <w:rPr>
          <w:rFonts w:hint="eastAsia" w:ascii="宋体" w:hAnsi="宋体" w:cs="宋体"/>
          <w:color w:val="auto"/>
          <w:sz w:val="24"/>
          <w:szCs w:val="24"/>
        </w:rPr>
        <w:t>付至审定价的</w:t>
      </w:r>
      <w:r>
        <w:rPr>
          <w:rFonts w:hint="eastAsia" w:ascii="宋体" w:hAnsi="宋体" w:cs="宋体"/>
          <w:color w:val="auto"/>
          <w:sz w:val="24"/>
          <w:szCs w:val="24"/>
          <w:lang w:val="en-US" w:eastAsia="zh-CN"/>
        </w:rPr>
        <w:t>8</w:t>
      </w:r>
      <w:r>
        <w:rPr>
          <w:rFonts w:hint="eastAsia" w:ascii="宋体" w:hAnsi="宋体" w:cs="宋体"/>
          <w:color w:val="auto"/>
          <w:sz w:val="24"/>
          <w:szCs w:val="24"/>
        </w:rPr>
        <w:t>0%，余款</w:t>
      </w:r>
      <w:r>
        <w:rPr>
          <w:rFonts w:hint="eastAsia" w:ascii="宋体" w:hAnsi="宋体" w:cs="宋体"/>
          <w:color w:val="auto"/>
          <w:sz w:val="24"/>
          <w:szCs w:val="24"/>
          <w:lang w:eastAsia="zh-CN"/>
        </w:rPr>
        <w:t>次年年底前</w:t>
      </w:r>
      <w:r>
        <w:rPr>
          <w:rFonts w:hint="eastAsia" w:ascii="宋体" w:hAnsi="宋体" w:cs="宋体"/>
          <w:color w:val="auto"/>
          <w:sz w:val="24"/>
          <w:szCs w:val="24"/>
        </w:rPr>
        <w:t>一次性付清（支付价款时须提供增值税发票）。</w:t>
      </w:r>
    </w:p>
    <w:p>
      <w:pPr>
        <w:spacing w:line="460" w:lineRule="exact"/>
        <w:ind w:firstLine="475"/>
        <w:rPr>
          <w:rFonts w:ascii="宋体" w:hAnsi="宋体" w:cs="宋体"/>
          <w:b/>
          <w:color w:val="auto"/>
          <w:sz w:val="24"/>
          <w:szCs w:val="20"/>
        </w:rPr>
      </w:pPr>
      <w:r>
        <w:rPr>
          <w:rFonts w:hint="eastAsia" w:ascii="宋体" w:hAnsi="宋体" w:cs="宋体"/>
          <w:b/>
          <w:color w:val="auto"/>
          <w:sz w:val="24"/>
          <w:szCs w:val="20"/>
        </w:rPr>
        <w:t>七、违约责任</w:t>
      </w:r>
    </w:p>
    <w:p>
      <w:pPr>
        <w:widowControl/>
        <w:spacing w:line="460" w:lineRule="exact"/>
        <w:ind w:firstLine="480"/>
        <w:rPr>
          <w:rFonts w:ascii="宋体" w:hAnsi="宋体" w:cs="宋体"/>
          <w:bCs/>
          <w:color w:val="auto"/>
          <w:sz w:val="24"/>
          <w:szCs w:val="20"/>
        </w:rPr>
      </w:pPr>
      <w:r>
        <w:rPr>
          <w:rFonts w:hint="eastAsia" w:ascii="宋体" w:hAnsi="宋体" w:cs="宋体"/>
          <w:bCs/>
          <w:color w:val="auto"/>
          <w:sz w:val="24"/>
          <w:szCs w:val="20"/>
        </w:rPr>
        <w:t>1.合同一方不履行合同义务或者履行合同义务不符合约定的，应当承担继续履行、采取补救措施或者赔偿损失等违约责任。</w:t>
      </w:r>
    </w:p>
    <w:p>
      <w:pPr>
        <w:widowControl/>
        <w:spacing w:line="460" w:lineRule="exact"/>
        <w:ind w:firstLine="480"/>
        <w:rPr>
          <w:rFonts w:ascii="宋体" w:hAnsi="宋体" w:cs="宋体"/>
          <w:bCs/>
          <w:color w:val="auto"/>
          <w:sz w:val="24"/>
          <w:szCs w:val="20"/>
        </w:rPr>
      </w:pPr>
      <w:r>
        <w:rPr>
          <w:rFonts w:hint="eastAsia" w:ascii="宋体" w:hAnsi="宋体" w:cs="宋体"/>
          <w:bCs/>
          <w:color w:val="auto"/>
          <w:sz w:val="24"/>
          <w:szCs w:val="20"/>
        </w:rPr>
        <w:t>2.甲方违约责任</w:t>
      </w:r>
    </w:p>
    <w:p>
      <w:pPr>
        <w:widowControl/>
        <w:spacing w:line="460" w:lineRule="exact"/>
        <w:ind w:firstLine="480"/>
        <w:rPr>
          <w:rFonts w:ascii="宋体" w:hAnsi="宋体" w:cs="宋体"/>
          <w:bCs/>
          <w:color w:val="auto"/>
          <w:sz w:val="24"/>
          <w:szCs w:val="20"/>
        </w:rPr>
      </w:pPr>
      <w:r>
        <w:rPr>
          <w:rFonts w:hint="eastAsia" w:ascii="宋体" w:hAnsi="宋体" w:cs="宋体"/>
          <w:bCs/>
          <w:color w:val="auto"/>
          <w:sz w:val="24"/>
          <w:szCs w:val="20"/>
        </w:rPr>
        <w:t>甲方违反合同规定，拒绝接收乙方交付的合格货物，应当承担乙方由此造成的损失。</w:t>
      </w:r>
    </w:p>
    <w:p>
      <w:pPr>
        <w:widowControl/>
        <w:spacing w:line="460" w:lineRule="exact"/>
        <w:ind w:firstLine="480"/>
        <w:rPr>
          <w:rFonts w:ascii="宋体" w:hAnsi="宋体" w:cs="宋体"/>
          <w:bCs/>
          <w:color w:val="auto"/>
          <w:sz w:val="24"/>
          <w:szCs w:val="20"/>
        </w:rPr>
      </w:pPr>
      <w:r>
        <w:rPr>
          <w:rFonts w:hint="eastAsia" w:ascii="宋体" w:hAnsi="宋体" w:cs="宋体"/>
          <w:bCs/>
          <w:color w:val="auto"/>
          <w:sz w:val="24"/>
          <w:szCs w:val="20"/>
        </w:rPr>
        <w:t>3.乙方违约责任</w:t>
      </w:r>
    </w:p>
    <w:p>
      <w:pPr>
        <w:widowControl/>
        <w:spacing w:line="460" w:lineRule="exact"/>
        <w:ind w:firstLine="480"/>
        <w:rPr>
          <w:rFonts w:ascii="宋体" w:hAnsi="宋体" w:cs="宋体"/>
          <w:bCs/>
          <w:color w:val="auto"/>
          <w:sz w:val="24"/>
          <w:szCs w:val="20"/>
        </w:rPr>
      </w:pPr>
      <w:r>
        <w:rPr>
          <w:rFonts w:hint="eastAsia" w:ascii="宋体" w:hAnsi="宋体" w:cs="宋体"/>
          <w:bCs/>
          <w:color w:val="auto"/>
          <w:sz w:val="24"/>
          <w:szCs w:val="20"/>
        </w:rPr>
        <w:t>（1）乙方不能交货（逾期超过十五天视为不能交货），或交货不合格从而影响甲方按期正常使用的，甲方有权解除合同，乙方向甲方偿付合同总价款5%的违约金，违约金不足以补偿损失的甲方有权要求乙方补足。</w:t>
      </w:r>
    </w:p>
    <w:p>
      <w:pPr>
        <w:widowControl/>
        <w:spacing w:line="460" w:lineRule="exact"/>
        <w:ind w:firstLine="480"/>
        <w:rPr>
          <w:rFonts w:ascii="宋体" w:hAnsi="宋体" w:cs="宋体"/>
          <w:bCs/>
          <w:color w:val="auto"/>
          <w:sz w:val="24"/>
          <w:szCs w:val="20"/>
        </w:rPr>
      </w:pPr>
      <w:r>
        <w:rPr>
          <w:rFonts w:hint="eastAsia" w:ascii="宋体" w:hAnsi="宋体" w:cs="宋体"/>
          <w:bCs/>
          <w:color w:val="auto"/>
          <w:sz w:val="24"/>
          <w:szCs w:val="20"/>
        </w:rPr>
        <w:t>（2）乙方逾期交货的，应在发货前与甲方协商，甲方仍需求的，乙方应立即发货并应按照逾期交货部分货款的每天万分之四支付逾期交货违约金，同时承担甲方因此遭致的损失费用。甲方不再需要的，应当在接到乙方通知后十五天内答复乙方，办理解除合同手续。逾期不答复的，视为同意发货，但乙方仍需按本条约定承担逾期交货的违约责任。</w:t>
      </w:r>
    </w:p>
    <w:p>
      <w:pPr>
        <w:widowControl/>
        <w:spacing w:line="460" w:lineRule="exact"/>
        <w:ind w:firstLine="482"/>
        <w:rPr>
          <w:rFonts w:ascii="宋体" w:hAnsi="宋体"/>
          <w:b/>
          <w:bCs/>
          <w:color w:val="auto"/>
          <w:sz w:val="24"/>
          <w:szCs w:val="20"/>
        </w:rPr>
      </w:pPr>
      <w:r>
        <w:rPr>
          <w:rFonts w:hint="eastAsia" w:ascii="宋体" w:hAnsi="宋体"/>
          <w:b/>
          <w:bCs/>
          <w:color w:val="auto"/>
          <w:sz w:val="24"/>
          <w:szCs w:val="20"/>
        </w:rPr>
        <w:t>八、安全问题</w:t>
      </w:r>
    </w:p>
    <w:p>
      <w:pPr>
        <w:widowControl/>
        <w:spacing w:line="460" w:lineRule="exact"/>
        <w:ind w:firstLine="480"/>
        <w:rPr>
          <w:rFonts w:ascii="宋体" w:hAnsi="宋体"/>
          <w:color w:val="auto"/>
          <w:sz w:val="24"/>
          <w:szCs w:val="20"/>
        </w:rPr>
      </w:pPr>
      <w:r>
        <w:rPr>
          <w:rFonts w:hint="eastAsia" w:ascii="宋体" w:hAnsi="宋体"/>
          <w:color w:val="auto"/>
          <w:sz w:val="24"/>
          <w:szCs w:val="20"/>
        </w:rPr>
        <w:t>乙方必须保证项目施工过程中以及货物供应、安装、运输、装卸、使用过程中的安全。如因产品质量不合理、不坚固、施工不规范，以及一切自然损坏而造成的货物损坏和人身伤害事故（不包括不可抗力因素），由乙方承担全部责任；</w:t>
      </w:r>
    </w:p>
    <w:p>
      <w:pPr>
        <w:widowControl/>
        <w:spacing w:line="460" w:lineRule="exact"/>
        <w:ind w:firstLine="472"/>
        <w:rPr>
          <w:rFonts w:ascii="宋体" w:hAnsi="宋体" w:cs="宋体"/>
          <w:b/>
          <w:color w:val="auto"/>
          <w:sz w:val="24"/>
          <w:szCs w:val="20"/>
        </w:rPr>
      </w:pPr>
      <w:r>
        <w:rPr>
          <w:rFonts w:hint="eastAsia" w:ascii="宋体" w:hAnsi="宋体" w:cs="宋体"/>
          <w:b/>
          <w:color w:val="auto"/>
          <w:sz w:val="24"/>
          <w:szCs w:val="20"/>
        </w:rPr>
        <w:t>九、不可抗力</w:t>
      </w:r>
    </w:p>
    <w:p>
      <w:pPr>
        <w:widowControl/>
        <w:spacing w:line="460" w:lineRule="exact"/>
        <w:ind w:firstLine="480"/>
        <w:rPr>
          <w:rFonts w:ascii="宋体" w:hAnsi="宋体" w:cs="宋体"/>
          <w:color w:val="auto"/>
          <w:sz w:val="24"/>
          <w:szCs w:val="20"/>
        </w:rPr>
      </w:pPr>
      <w:r>
        <w:rPr>
          <w:rFonts w:hint="eastAsia" w:ascii="宋体" w:hAnsi="宋体" w:cs="宋体"/>
          <w:color w:val="auto"/>
          <w:sz w:val="24"/>
          <w:szCs w:val="20"/>
        </w:rPr>
        <w:t>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widowControl/>
        <w:spacing w:line="460" w:lineRule="exact"/>
        <w:ind w:firstLine="480"/>
        <w:rPr>
          <w:rFonts w:ascii="宋体" w:hAnsi="宋体" w:cs="宋体"/>
          <w:color w:val="auto"/>
          <w:sz w:val="24"/>
          <w:szCs w:val="20"/>
        </w:rPr>
      </w:pPr>
      <w:r>
        <w:rPr>
          <w:rFonts w:hint="eastAsia" w:ascii="宋体" w:hAnsi="宋体" w:cs="宋体"/>
          <w:color w:val="auto"/>
          <w:sz w:val="24"/>
          <w:szCs w:val="20"/>
        </w:rPr>
        <w:t>2.不可抗力事件持续超过15日，任一方均有权解除本合同。</w:t>
      </w:r>
    </w:p>
    <w:p>
      <w:pPr>
        <w:widowControl/>
        <w:spacing w:line="460" w:lineRule="exact"/>
        <w:ind w:firstLine="472"/>
        <w:rPr>
          <w:rFonts w:ascii="宋体" w:hAnsi="宋体" w:cs="宋体"/>
          <w:b/>
          <w:color w:val="auto"/>
          <w:sz w:val="24"/>
          <w:szCs w:val="20"/>
        </w:rPr>
      </w:pPr>
      <w:r>
        <w:rPr>
          <w:rFonts w:hint="eastAsia" w:ascii="宋体" w:hAnsi="宋体" w:cs="宋体"/>
          <w:b/>
          <w:color w:val="auto"/>
          <w:sz w:val="24"/>
          <w:szCs w:val="20"/>
        </w:rPr>
        <w:t>十、其他事项</w:t>
      </w:r>
    </w:p>
    <w:p>
      <w:pPr>
        <w:widowControl/>
        <w:spacing w:line="460" w:lineRule="exact"/>
        <w:ind w:firstLine="480"/>
        <w:rPr>
          <w:rFonts w:ascii="宋体" w:hAnsi="宋体" w:cs="宋体"/>
          <w:color w:val="auto"/>
          <w:sz w:val="24"/>
          <w:szCs w:val="20"/>
        </w:rPr>
      </w:pPr>
      <w:r>
        <w:rPr>
          <w:rFonts w:hint="eastAsia" w:ascii="宋体" w:hAnsi="宋体" w:cs="宋体"/>
          <w:color w:val="auto"/>
          <w:sz w:val="24"/>
          <w:szCs w:val="20"/>
        </w:rPr>
        <w:t>按本合同规定应该偿付的违约金、赔偿金、保管保养费和各种经济损失的，应当在明确责任后</w:t>
      </w:r>
      <w:r>
        <w:rPr>
          <w:rFonts w:hint="eastAsia" w:ascii="宋体" w:hAnsi="宋体" w:cs="宋体"/>
          <w:color w:val="auto"/>
          <w:sz w:val="24"/>
          <w:szCs w:val="20"/>
          <w:u w:val="single"/>
        </w:rPr>
        <w:t xml:space="preserve"> 7 </w:t>
      </w:r>
      <w:r>
        <w:rPr>
          <w:rFonts w:hint="eastAsia" w:ascii="宋体" w:hAnsi="宋体" w:cs="宋体"/>
          <w:color w:val="auto"/>
          <w:sz w:val="24"/>
          <w:szCs w:val="20"/>
        </w:rPr>
        <w:t>天内支付，否则应按未付金额的</w:t>
      </w:r>
      <w:r>
        <w:rPr>
          <w:rFonts w:hint="eastAsia" w:ascii="宋体" w:hAnsi="宋体" w:cs="宋体"/>
          <w:color w:val="auto"/>
          <w:sz w:val="24"/>
          <w:szCs w:val="20"/>
          <w:u w:val="single"/>
        </w:rPr>
        <w:t xml:space="preserve"> 10% </w:t>
      </w:r>
      <w:r>
        <w:rPr>
          <w:rFonts w:hint="eastAsia" w:ascii="宋体" w:hAnsi="宋体" w:cs="宋体"/>
          <w:color w:val="auto"/>
          <w:sz w:val="24"/>
          <w:szCs w:val="20"/>
        </w:rPr>
        <w:t>支付违约金。</w:t>
      </w:r>
    </w:p>
    <w:p>
      <w:pPr>
        <w:widowControl/>
        <w:spacing w:line="460" w:lineRule="exact"/>
        <w:ind w:firstLine="354"/>
        <w:rPr>
          <w:rFonts w:ascii="宋体" w:hAnsi="宋体" w:cs="宋体"/>
          <w:b/>
          <w:color w:val="auto"/>
          <w:sz w:val="24"/>
          <w:szCs w:val="20"/>
        </w:rPr>
      </w:pPr>
      <w:r>
        <w:rPr>
          <w:rFonts w:hint="eastAsia" w:ascii="宋体" w:hAnsi="宋体" w:cs="宋体"/>
          <w:b/>
          <w:color w:val="auto"/>
          <w:sz w:val="24"/>
          <w:szCs w:val="20"/>
        </w:rPr>
        <w:t>十一、合同争议解决方式</w:t>
      </w:r>
    </w:p>
    <w:p>
      <w:pPr>
        <w:spacing w:line="460" w:lineRule="exact"/>
        <w:ind w:firstLine="360"/>
        <w:outlineLvl w:val="0"/>
        <w:rPr>
          <w:rFonts w:ascii="宋体" w:hAnsi="宋体" w:cs="宋体"/>
          <w:color w:val="auto"/>
          <w:szCs w:val="20"/>
        </w:rPr>
      </w:pPr>
      <w:r>
        <w:rPr>
          <w:rFonts w:hint="eastAsia" w:ascii="宋体" w:hAnsi="宋体" w:cs="宋体"/>
          <w:color w:val="auto"/>
          <w:sz w:val="24"/>
        </w:rPr>
        <w:t>本合同的订立、解释、履行及争议解决应适用于中华人民共和国法律。双方因履行本合同产生纠纷，应协商解决。协商不成，双方同意将争议提交甲方所在地有管辖权的人民法院解决。</w:t>
      </w:r>
    </w:p>
    <w:p>
      <w:pPr>
        <w:widowControl/>
        <w:spacing w:line="460" w:lineRule="exact"/>
        <w:ind w:firstLine="354"/>
        <w:rPr>
          <w:rFonts w:ascii="宋体" w:hAnsi="宋体" w:cs="宋体"/>
          <w:b/>
          <w:color w:val="auto"/>
          <w:sz w:val="24"/>
          <w:szCs w:val="20"/>
        </w:rPr>
      </w:pPr>
      <w:r>
        <w:rPr>
          <w:rFonts w:hint="eastAsia" w:ascii="宋体" w:hAnsi="宋体" w:cs="宋体"/>
          <w:b/>
          <w:color w:val="auto"/>
          <w:sz w:val="24"/>
          <w:szCs w:val="20"/>
        </w:rPr>
        <w:t>十二、其他</w:t>
      </w:r>
    </w:p>
    <w:p>
      <w:pPr>
        <w:widowControl/>
        <w:spacing w:line="460" w:lineRule="exact"/>
        <w:ind w:firstLine="480"/>
        <w:rPr>
          <w:rFonts w:ascii="宋体" w:hAnsi="宋体" w:cs="宋体"/>
          <w:bCs/>
          <w:color w:val="auto"/>
          <w:sz w:val="24"/>
          <w:szCs w:val="20"/>
        </w:rPr>
      </w:pPr>
      <w:r>
        <w:rPr>
          <w:rFonts w:hint="eastAsia" w:ascii="宋体" w:hAnsi="宋体" w:cs="宋体"/>
          <w:bCs/>
          <w:color w:val="auto"/>
          <w:sz w:val="24"/>
          <w:szCs w:val="20"/>
        </w:rPr>
        <w:t>1.合同执行期内，甲、乙双方均不得随意变更或解除合同。合同如有未尽事宜，须经双方共同协商，做出补充规定，补充规定与合同具有同等效力。</w:t>
      </w:r>
    </w:p>
    <w:p>
      <w:pPr>
        <w:widowControl/>
        <w:spacing w:line="460" w:lineRule="exact"/>
        <w:ind w:firstLine="480"/>
        <w:rPr>
          <w:rFonts w:ascii="宋体" w:hAnsi="宋体" w:cs="宋体"/>
          <w:bCs/>
          <w:color w:val="auto"/>
          <w:sz w:val="24"/>
          <w:szCs w:val="20"/>
        </w:rPr>
      </w:pPr>
      <w:r>
        <w:rPr>
          <w:rFonts w:hint="eastAsia" w:ascii="宋体" w:hAnsi="宋体" w:cs="宋体"/>
          <w:bCs/>
          <w:color w:val="auto"/>
          <w:sz w:val="24"/>
          <w:szCs w:val="20"/>
        </w:rPr>
        <w:t>2.本合同有效期：</w:t>
      </w:r>
      <w:r>
        <w:rPr>
          <w:rFonts w:hint="eastAsia" w:ascii="宋体" w:hAnsi="宋体" w:cs="宋体"/>
          <w:bCs/>
          <w:color w:val="auto"/>
          <w:sz w:val="24"/>
          <w:szCs w:val="20"/>
          <w:u w:val="single"/>
        </w:rPr>
        <w:t xml:space="preserve">    </w:t>
      </w:r>
      <w:r>
        <w:rPr>
          <w:rFonts w:hint="eastAsia" w:ascii="宋体" w:hAnsi="宋体" w:cs="宋体"/>
          <w:bCs/>
          <w:color w:val="auto"/>
          <w:sz w:val="24"/>
          <w:szCs w:val="20"/>
        </w:rPr>
        <w:t xml:space="preserve">年 </w:t>
      </w:r>
      <w:r>
        <w:rPr>
          <w:rFonts w:hint="eastAsia" w:ascii="宋体" w:hAnsi="宋体" w:cs="宋体"/>
          <w:bCs/>
          <w:color w:val="auto"/>
          <w:sz w:val="24"/>
          <w:szCs w:val="20"/>
          <w:u w:val="single"/>
        </w:rPr>
        <w:t xml:space="preserve">    </w:t>
      </w:r>
      <w:r>
        <w:rPr>
          <w:rFonts w:hint="eastAsia" w:ascii="宋体" w:hAnsi="宋体" w:cs="宋体"/>
          <w:bCs/>
          <w:color w:val="auto"/>
          <w:sz w:val="24"/>
          <w:szCs w:val="20"/>
        </w:rPr>
        <w:t>月</w:t>
      </w:r>
      <w:r>
        <w:rPr>
          <w:rFonts w:hint="eastAsia" w:ascii="宋体" w:hAnsi="宋体" w:cs="宋体"/>
          <w:bCs/>
          <w:color w:val="auto"/>
          <w:sz w:val="24"/>
          <w:szCs w:val="20"/>
          <w:u w:val="single"/>
        </w:rPr>
        <w:t xml:space="preserve">    </w:t>
      </w:r>
      <w:r>
        <w:rPr>
          <w:rFonts w:hint="eastAsia" w:ascii="宋体" w:hAnsi="宋体" w:cs="宋体"/>
          <w:bCs/>
          <w:color w:val="auto"/>
          <w:sz w:val="24"/>
          <w:szCs w:val="20"/>
        </w:rPr>
        <w:t>日至</w:t>
      </w:r>
      <w:r>
        <w:rPr>
          <w:rFonts w:hint="eastAsia" w:ascii="宋体" w:hAnsi="宋体" w:cs="宋体"/>
          <w:bCs/>
          <w:color w:val="auto"/>
          <w:sz w:val="24"/>
          <w:szCs w:val="20"/>
          <w:u w:val="single"/>
        </w:rPr>
        <w:t xml:space="preserve">     </w:t>
      </w:r>
      <w:r>
        <w:rPr>
          <w:rFonts w:hint="eastAsia" w:ascii="宋体" w:hAnsi="宋体" w:cs="宋体"/>
          <w:bCs/>
          <w:color w:val="auto"/>
          <w:sz w:val="24"/>
          <w:szCs w:val="20"/>
        </w:rPr>
        <w:t xml:space="preserve">年 </w:t>
      </w:r>
      <w:r>
        <w:rPr>
          <w:rFonts w:hint="eastAsia" w:ascii="宋体" w:hAnsi="宋体" w:cs="宋体"/>
          <w:bCs/>
          <w:color w:val="auto"/>
          <w:sz w:val="24"/>
          <w:szCs w:val="20"/>
          <w:u w:val="single"/>
        </w:rPr>
        <w:t xml:space="preserve">    </w:t>
      </w:r>
      <w:r>
        <w:rPr>
          <w:rFonts w:hint="eastAsia" w:ascii="宋体" w:hAnsi="宋体" w:cs="宋体"/>
          <w:bCs/>
          <w:color w:val="auto"/>
          <w:sz w:val="24"/>
          <w:szCs w:val="20"/>
        </w:rPr>
        <w:t>月</w:t>
      </w:r>
      <w:r>
        <w:rPr>
          <w:rFonts w:hint="eastAsia" w:ascii="宋体" w:hAnsi="宋体" w:cs="宋体"/>
          <w:bCs/>
          <w:color w:val="auto"/>
          <w:sz w:val="24"/>
          <w:szCs w:val="20"/>
          <w:u w:val="single"/>
        </w:rPr>
        <w:t xml:space="preserve">    </w:t>
      </w:r>
      <w:r>
        <w:rPr>
          <w:rFonts w:hint="eastAsia" w:ascii="宋体" w:hAnsi="宋体" w:cs="宋体"/>
          <w:bCs/>
          <w:color w:val="auto"/>
          <w:sz w:val="24"/>
          <w:szCs w:val="20"/>
        </w:rPr>
        <w:t>日（以下单日为准）。</w:t>
      </w:r>
    </w:p>
    <w:p>
      <w:pPr>
        <w:widowControl/>
        <w:spacing w:line="460" w:lineRule="exact"/>
        <w:ind w:firstLine="480"/>
        <w:rPr>
          <w:rFonts w:ascii="宋体" w:hAnsi="宋体" w:cs="宋体"/>
          <w:bCs/>
          <w:color w:val="auto"/>
          <w:sz w:val="24"/>
          <w:szCs w:val="20"/>
        </w:rPr>
      </w:pPr>
      <w:r>
        <w:rPr>
          <w:rFonts w:hint="eastAsia" w:ascii="宋体" w:hAnsi="宋体" w:cs="宋体"/>
          <w:bCs/>
          <w:color w:val="auto"/>
          <w:sz w:val="24"/>
          <w:szCs w:val="20"/>
        </w:rPr>
        <w:t>3.任何一方无权在没有另一方事先书面同意的情况下，向第三方给予、授予和转让本合同所规定的任何权利和义务。</w:t>
      </w:r>
    </w:p>
    <w:p>
      <w:pPr>
        <w:widowControl/>
        <w:tabs>
          <w:tab w:val="left" w:pos="630"/>
        </w:tabs>
        <w:spacing w:line="460" w:lineRule="exact"/>
        <w:ind w:firstLine="480"/>
        <w:rPr>
          <w:rFonts w:ascii="宋体" w:hAnsi="宋体" w:cs="宋体"/>
          <w:bCs/>
          <w:color w:val="auto"/>
          <w:sz w:val="24"/>
          <w:szCs w:val="20"/>
        </w:rPr>
      </w:pPr>
      <w:r>
        <w:rPr>
          <w:rFonts w:hint="eastAsia" w:ascii="宋体" w:hAnsi="宋体" w:cs="宋体"/>
          <w:bCs/>
          <w:color w:val="auto"/>
          <w:sz w:val="24"/>
          <w:szCs w:val="20"/>
        </w:rPr>
        <w:t>4.本合同自甲乙双方代表签字盖章之日起生效，一式陆份，甲乙双方各贰份，</w:t>
      </w:r>
      <w:r>
        <w:rPr>
          <w:rFonts w:hint="eastAsia" w:ascii="宋体" w:hAnsi="宋体" w:cs="宋体"/>
          <w:bCs/>
          <w:color w:val="auto"/>
          <w:sz w:val="24"/>
          <w:szCs w:val="20"/>
          <w:lang w:eastAsia="zh-CN"/>
        </w:rPr>
        <w:t>江苏永悦工程项目管理有限公司</w:t>
      </w:r>
      <w:r>
        <w:rPr>
          <w:rFonts w:hint="eastAsia" w:ascii="宋体" w:hAnsi="宋体" w:cs="宋体"/>
          <w:bCs/>
          <w:color w:val="auto"/>
          <w:sz w:val="24"/>
          <w:szCs w:val="20"/>
        </w:rPr>
        <w:t>贰份。</w:t>
      </w:r>
    </w:p>
    <w:p>
      <w:pPr>
        <w:spacing w:line="460" w:lineRule="exact"/>
        <w:ind w:firstLine="480"/>
        <w:rPr>
          <w:rFonts w:ascii="宋体" w:hAnsi="宋体"/>
          <w:bCs/>
          <w:color w:val="auto"/>
          <w:sz w:val="24"/>
          <w:szCs w:val="24"/>
        </w:rPr>
      </w:pPr>
      <w:r>
        <w:rPr>
          <w:rFonts w:hint="eastAsia" w:ascii="宋体" w:hAnsi="宋体" w:cs="宋体"/>
          <w:bCs/>
          <w:color w:val="auto"/>
          <w:sz w:val="24"/>
          <w:szCs w:val="20"/>
        </w:rPr>
        <w:t>5.本合同附件包括：招标文件、中标通知书、投标文件。</w:t>
      </w:r>
    </w:p>
    <w:p>
      <w:pPr>
        <w:widowControl/>
        <w:spacing w:line="460" w:lineRule="exact"/>
        <w:ind w:firstLine="482"/>
        <w:rPr>
          <w:rFonts w:ascii="宋体" w:hAnsi="宋体" w:cs="宋体"/>
          <w:b/>
          <w:color w:val="auto"/>
          <w:sz w:val="24"/>
          <w:szCs w:val="20"/>
        </w:rPr>
      </w:pPr>
      <w:bookmarkStart w:id="24" w:name="_Toc130206652"/>
      <w:r>
        <w:rPr>
          <w:rFonts w:hint="eastAsia" w:ascii="宋体" w:hAnsi="宋体" w:cs="宋体"/>
          <w:b/>
          <w:color w:val="auto"/>
          <w:sz w:val="24"/>
          <w:szCs w:val="20"/>
        </w:rPr>
        <w:t>6.该合同在签订之日起2个工作日内在江苏省政府采购网、盐城市政府采购网上予以公示。</w:t>
      </w:r>
    </w:p>
    <w:p>
      <w:pPr>
        <w:widowControl/>
        <w:spacing w:line="460" w:lineRule="exact"/>
        <w:ind w:firstLine="482"/>
        <w:rPr>
          <w:rFonts w:ascii="宋体" w:hAnsi="宋体" w:cs="宋体"/>
          <w:b/>
          <w:color w:val="auto"/>
          <w:sz w:val="24"/>
          <w:szCs w:val="20"/>
        </w:rPr>
      </w:pPr>
    </w:p>
    <w:p>
      <w:pPr>
        <w:widowControl/>
        <w:spacing w:line="460" w:lineRule="exact"/>
        <w:ind w:firstLine="482"/>
        <w:rPr>
          <w:rFonts w:ascii="宋体" w:hAnsi="宋体" w:cs="宋体"/>
          <w:b/>
          <w:color w:val="auto"/>
          <w:sz w:val="24"/>
          <w:szCs w:val="20"/>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Ansi="宋体" w:cs="宋体"/>
          <w:b/>
          <w:color w:val="auto"/>
          <w:sz w:val="32"/>
          <w:szCs w:val="32"/>
        </w:rPr>
      </w:pPr>
    </w:p>
    <w:p>
      <w:pPr>
        <w:pStyle w:val="21"/>
        <w:spacing w:line="480" w:lineRule="exact"/>
        <w:jc w:val="center"/>
        <w:outlineLvl w:val="0"/>
        <w:rPr>
          <w:rFonts w:hint="eastAsia" w:hAnsi="宋体" w:cs="宋体"/>
          <w:b/>
          <w:color w:val="auto"/>
          <w:sz w:val="32"/>
          <w:szCs w:val="32"/>
        </w:rPr>
      </w:pPr>
    </w:p>
    <w:p>
      <w:pPr>
        <w:pStyle w:val="21"/>
        <w:spacing w:line="480" w:lineRule="exact"/>
        <w:jc w:val="center"/>
        <w:outlineLvl w:val="0"/>
        <w:rPr>
          <w:rFonts w:hint="eastAsia" w:hAnsi="宋体" w:cs="宋体"/>
          <w:b/>
          <w:color w:val="auto"/>
          <w:sz w:val="32"/>
          <w:szCs w:val="32"/>
        </w:rPr>
      </w:pPr>
    </w:p>
    <w:p>
      <w:pPr>
        <w:pStyle w:val="21"/>
        <w:spacing w:line="480" w:lineRule="exact"/>
        <w:jc w:val="center"/>
        <w:outlineLvl w:val="0"/>
        <w:rPr>
          <w:rFonts w:hAnsi="宋体" w:cs="宋体"/>
          <w:b/>
          <w:color w:val="auto"/>
          <w:sz w:val="32"/>
          <w:szCs w:val="32"/>
        </w:rPr>
      </w:pPr>
      <w:r>
        <w:rPr>
          <w:rFonts w:hint="eastAsia" w:hAnsi="宋体" w:cs="宋体"/>
          <w:b/>
          <w:color w:val="auto"/>
          <w:sz w:val="32"/>
          <w:szCs w:val="32"/>
        </w:rPr>
        <w:t>第六章 投标文件及格式</w:t>
      </w:r>
      <w:bookmarkEnd w:id="24"/>
    </w:p>
    <w:p>
      <w:pPr>
        <w:spacing w:before="120" w:after="120" w:line="460" w:lineRule="exact"/>
        <w:jc w:val="center"/>
        <w:outlineLvl w:val="0"/>
        <w:rPr>
          <w:rFonts w:ascii="宋体" w:hAnsi="Courier New"/>
          <w:b/>
          <w:color w:val="auto"/>
          <w:sz w:val="32"/>
          <w:szCs w:val="32"/>
        </w:rPr>
      </w:pPr>
      <w:bookmarkStart w:id="25" w:name="_Toc130206653"/>
      <w:bookmarkStart w:id="26" w:name="_Toc101357899"/>
      <w:bookmarkStart w:id="27" w:name="_Toc101166955"/>
      <w:bookmarkStart w:id="28" w:name="_Toc58186236"/>
      <w:bookmarkStart w:id="29" w:name="_Toc120519618"/>
      <w:r>
        <w:rPr>
          <w:rFonts w:hint="eastAsia"/>
          <w:b/>
          <w:color w:val="auto"/>
          <w:sz w:val="32"/>
          <w:szCs w:val="32"/>
        </w:rPr>
        <w:t>（一）</w:t>
      </w:r>
      <w:r>
        <w:rPr>
          <w:rFonts w:hint="eastAsia" w:ascii="宋体" w:hAnsi="Courier New"/>
          <w:b/>
          <w:color w:val="auto"/>
          <w:sz w:val="32"/>
          <w:szCs w:val="32"/>
        </w:rPr>
        <w:t>开标一览表</w:t>
      </w:r>
      <w:bookmarkEnd w:id="25"/>
    </w:p>
    <w:p>
      <w:pPr>
        <w:widowControl/>
        <w:spacing w:before="100" w:beforeAutospacing="1" w:after="100" w:afterAutospacing="1"/>
        <w:jc w:val="left"/>
        <w:rPr>
          <w:rFonts w:ascii="宋体" w:hAnsi="宋体" w:cs="宋体"/>
          <w:color w:val="auto"/>
          <w:sz w:val="24"/>
          <w:szCs w:val="24"/>
          <w:highlight w:val="none"/>
        </w:rPr>
      </w:pPr>
      <w:r>
        <w:rPr>
          <w:rFonts w:ascii="宋体" w:hAnsi="宋体" w:cs="宋体"/>
          <w:color w:val="auto"/>
          <w:sz w:val="24"/>
          <w:szCs w:val="24"/>
          <w:highlight w:val="none"/>
        </w:rPr>
        <w:t>项目编号：JSZC-320925-YSGS-G2023-0007</w:t>
      </w:r>
    </w:p>
    <w:p>
      <w:pPr>
        <w:widowControl/>
        <w:spacing w:before="100" w:beforeAutospacing="1" w:after="100" w:afterAutospacing="1"/>
        <w:jc w:val="left"/>
        <w:rPr>
          <w:rFonts w:ascii="宋体" w:hAnsi="宋体" w:cs="宋体"/>
          <w:color w:val="auto"/>
          <w:sz w:val="24"/>
          <w:szCs w:val="24"/>
        </w:rPr>
      </w:pPr>
      <w:r>
        <w:rPr>
          <w:rFonts w:ascii="宋体" w:hAnsi="宋体" w:cs="宋体"/>
          <w:color w:val="auto"/>
          <w:sz w:val="24"/>
          <w:szCs w:val="24"/>
        </w:rPr>
        <w:t>货币单位：人民币元</w:t>
      </w:r>
    </w:p>
    <w:tbl>
      <w:tblPr>
        <w:tblStyle w:val="39"/>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43"/>
        <w:gridCol w:w="297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2943" w:type="dxa"/>
            <w:noWrap w:val="0"/>
            <w:vAlign w:val="center"/>
          </w:tcPr>
          <w:p>
            <w:pPr>
              <w:widowControl/>
              <w:spacing w:before="100" w:beforeAutospacing="1" w:after="100" w:afterAutospacing="1"/>
              <w:jc w:val="center"/>
              <w:rPr>
                <w:rFonts w:ascii="宋体" w:hAnsi="宋体" w:cs="宋体"/>
                <w:color w:val="auto"/>
                <w:sz w:val="24"/>
                <w:szCs w:val="24"/>
              </w:rPr>
            </w:pPr>
            <w:r>
              <w:rPr>
                <w:rFonts w:ascii="宋体" w:hAnsi="宋体" w:cs="宋体"/>
                <w:color w:val="auto"/>
                <w:sz w:val="24"/>
                <w:szCs w:val="24"/>
              </w:rPr>
              <w:t>项目名称</w:t>
            </w:r>
          </w:p>
        </w:tc>
        <w:tc>
          <w:tcPr>
            <w:tcW w:w="2977" w:type="dxa"/>
            <w:noWrap w:val="0"/>
            <w:vAlign w:val="center"/>
          </w:tcPr>
          <w:p>
            <w:pPr>
              <w:widowControl/>
              <w:spacing w:before="100" w:beforeAutospacing="1" w:after="100" w:afterAutospacing="1"/>
              <w:jc w:val="center"/>
              <w:rPr>
                <w:rFonts w:ascii="宋体" w:hAnsi="宋体" w:cs="宋体"/>
                <w:color w:val="auto"/>
                <w:sz w:val="24"/>
                <w:szCs w:val="24"/>
              </w:rPr>
            </w:pPr>
            <w:r>
              <w:rPr>
                <w:rFonts w:ascii="宋体" w:hAnsi="宋体" w:cs="宋体"/>
                <w:color w:val="auto"/>
                <w:sz w:val="24"/>
                <w:szCs w:val="24"/>
              </w:rPr>
              <w:t>项目内容</w:t>
            </w:r>
          </w:p>
        </w:tc>
        <w:tc>
          <w:tcPr>
            <w:tcW w:w="3260" w:type="dxa"/>
            <w:noWrap w:val="0"/>
            <w:vAlign w:val="center"/>
          </w:tcPr>
          <w:p>
            <w:pPr>
              <w:widowControl/>
              <w:spacing w:before="100" w:beforeAutospacing="1" w:after="100" w:afterAutospacing="1"/>
              <w:jc w:val="center"/>
              <w:rPr>
                <w:rFonts w:ascii="宋体" w:hAnsi="宋体" w:cs="宋体"/>
                <w:color w:val="auto"/>
                <w:sz w:val="24"/>
                <w:szCs w:val="24"/>
              </w:rPr>
            </w:pPr>
            <w:r>
              <w:rPr>
                <w:rFonts w:hint="eastAsia" w:ascii="宋体" w:hAnsi="宋体" w:cs="宋体"/>
                <w:color w:val="auto"/>
                <w:sz w:val="24"/>
                <w:szCs w:val="24"/>
              </w:rPr>
              <w:t>总</w:t>
            </w:r>
            <w:r>
              <w:rPr>
                <w:rFonts w:ascii="宋体" w:hAnsi="宋体" w:cs="宋体"/>
                <w:color w:val="auto"/>
                <w:sz w:val="24"/>
                <w:szCs w:val="24"/>
              </w:rPr>
              <w:t>价（小写）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trPr>
        <w:tc>
          <w:tcPr>
            <w:tcW w:w="2943" w:type="dxa"/>
            <w:noWrap w:val="0"/>
            <w:vAlign w:val="center"/>
          </w:tcPr>
          <w:p>
            <w:pPr>
              <w:widowControl/>
              <w:spacing w:before="100" w:beforeAutospacing="1" w:after="100" w:afterAutospacing="1"/>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建湖县公安局智能枪弹库建设采购项目</w:t>
            </w:r>
          </w:p>
        </w:tc>
        <w:tc>
          <w:tcPr>
            <w:tcW w:w="2977" w:type="dxa"/>
            <w:noWrap w:val="0"/>
            <w:vAlign w:val="center"/>
          </w:tcPr>
          <w:p>
            <w:pPr>
              <w:widowControl/>
              <w:spacing w:before="100" w:beforeAutospacing="1" w:after="100" w:afterAutospacing="1"/>
              <w:jc w:val="center"/>
              <w:rPr>
                <w:rFonts w:ascii="宋体" w:hAnsi="宋体" w:cs="宋体"/>
                <w:color w:val="auto"/>
                <w:sz w:val="24"/>
                <w:szCs w:val="24"/>
              </w:rPr>
            </w:pPr>
            <w:r>
              <w:rPr>
                <w:rFonts w:ascii="宋体" w:hAnsi="宋体" w:cs="宋体"/>
                <w:color w:val="auto"/>
                <w:sz w:val="24"/>
                <w:szCs w:val="24"/>
              </w:rPr>
              <w:t>详见投标文件</w:t>
            </w:r>
          </w:p>
        </w:tc>
        <w:tc>
          <w:tcPr>
            <w:tcW w:w="3260" w:type="dxa"/>
            <w:noWrap w:val="0"/>
            <w:vAlign w:val="center"/>
          </w:tcPr>
          <w:p>
            <w:pPr>
              <w:widowControl/>
              <w:spacing w:before="100" w:beforeAutospacing="1" w:after="100" w:afterAutospacing="1"/>
              <w:rPr>
                <w:rFonts w:ascii="宋体" w:hAnsi="宋体" w:cs="宋体"/>
                <w:color w:val="auto"/>
                <w:sz w:val="24"/>
                <w:szCs w:val="24"/>
              </w:rPr>
            </w:pPr>
            <w:r>
              <w:rPr>
                <w:rFonts w:hint="eastAsia" w:ascii="宋体" w:hAnsi="宋体" w:cs="宋体"/>
                <w:color w:val="auto"/>
                <w:sz w:val="24"/>
                <w:szCs w:val="24"/>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2943" w:type="dxa"/>
            <w:noWrap w:val="0"/>
            <w:vAlign w:val="center"/>
          </w:tcPr>
          <w:p>
            <w:pPr>
              <w:widowControl/>
              <w:spacing w:before="100" w:beforeAutospacing="1" w:after="100" w:afterAutospacing="1"/>
              <w:jc w:val="center"/>
              <w:rPr>
                <w:rFonts w:ascii="宋体" w:hAnsi="宋体" w:cs="宋体"/>
                <w:color w:val="auto"/>
                <w:sz w:val="24"/>
                <w:szCs w:val="24"/>
              </w:rPr>
            </w:pPr>
            <w:r>
              <w:rPr>
                <w:rFonts w:hint="eastAsia" w:ascii="宋体" w:hAnsi="宋体" w:cs="宋体"/>
                <w:color w:val="auto"/>
                <w:sz w:val="24"/>
                <w:szCs w:val="24"/>
              </w:rPr>
              <w:t>总</w:t>
            </w:r>
            <w:r>
              <w:rPr>
                <w:rFonts w:ascii="宋体" w:hAnsi="宋体" w:cs="宋体"/>
                <w:color w:val="auto"/>
                <w:sz w:val="24"/>
                <w:szCs w:val="24"/>
              </w:rPr>
              <w:t>价（大写）：</w:t>
            </w:r>
          </w:p>
        </w:tc>
        <w:tc>
          <w:tcPr>
            <w:tcW w:w="6237" w:type="dxa"/>
            <w:gridSpan w:val="2"/>
            <w:noWrap w:val="0"/>
            <w:vAlign w:val="center"/>
          </w:tcPr>
          <w:p>
            <w:pPr>
              <w:widowControl/>
              <w:spacing w:before="100" w:beforeAutospacing="1" w:after="100" w:afterAutospacing="1"/>
              <w:rPr>
                <w:rFonts w:ascii="宋体" w:hAnsi="宋体" w:cs="宋体"/>
                <w:color w:val="auto"/>
                <w:sz w:val="24"/>
                <w:szCs w:val="24"/>
              </w:rPr>
            </w:pPr>
          </w:p>
        </w:tc>
      </w:tr>
    </w:tbl>
    <w:p>
      <w:pPr>
        <w:widowControl/>
        <w:spacing w:before="100" w:beforeAutospacing="1" w:after="100" w:afterAutospacing="1"/>
        <w:jc w:val="left"/>
        <w:rPr>
          <w:rFonts w:ascii="宋体" w:hAnsi="宋体" w:cs="宋体"/>
          <w:color w:val="auto"/>
          <w:sz w:val="24"/>
          <w:szCs w:val="24"/>
        </w:rPr>
      </w:pPr>
    </w:p>
    <w:p>
      <w:pPr>
        <w:widowControl/>
        <w:spacing w:before="100" w:beforeAutospacing="1" w:after="100" w:afterAutospacing="1"/>
        <w:jc w:val="left"/>
        <w:rPr>
          <w:rFonts w:ascii="宋体" w:hAnsi="宋体" w:cs="宋体"/>
          <w:color w:val="auto"/>
          <w:sz w:val="24"/>
          <w:szCs w:val="24"/>
        </w:rPr>
      </w:pPr>
    </w:p>
    <w:p>
      <w:pPr>
        <w:widowControl/>
        <w:spacing w:before="100" w:beforeAutospacing="1" w:after="100" w:afterAutospacing="1" w:line="600" w:lineRule="exact"/>
        <w:jc w:val="left"/>
        <w:rPr>
          <w:rFonts w:ascii="宋体" w:hAnsi="宋体" w:cs="宋体"/>
          <w:color w:val="auto"/>
          <w:sz w:val="24"/>
          <w:szCs w:val="24"/>
        </w:rPr>
      </w:pPr>
      <w:r>
        <w:rPr>
          <w:rFonts w:ascii="宋体" w:hAnsi="宋体" w:cs="宋体"/>
          <w:color w:val="auto"/>
          <w:sz w:val="24"/>
          <w:szCs w:val="24"/>
        </w:rPr>
        <w:t>投标人公章（电子签章）：</w:t>
      </w:r>
    </w:p>
    <w:p>
      <w:pPr>
        <w:widowControl/>
        <w:spacing w:before="100" w:beforeAutospacing="1" w:after="100" w:afterAutospacing="1" w:line="600" w:lineRule="exact"/>
        <w:ind w:firstLine="120"/>
        <w:jc w:val="left"/>
        <w:rPr>
          <w:rFonts w:ascii="宋体" w:hAnsi="宋体" w:cs="宋体"/>
          <w:color w:val="auto"/>
          <w:sz w:val="24"/>
          <w:szCs w:val="24"/>
        </w:rPr>
      </w:pPr>
      <w:r>
        <w:rPr>
          <w:rFonts w:ascii="宋体" w:hAnsi="宋体" w:cs="宋体"/>
          <w:color w:val="auto"/>
          <w:sz w:val="24"/>
          <w:szCs w:val="24"/>
        </w:rPr>
        <w:t>                         </w:t>
      </w:r>
    </w:p>
    <w:p>
      <w:pPr>
        <w:spacing w:before="120" w:after="120" w:line="460" w:lineRule="exact"/>
        <w:jc w:val="center"/>
        <w:outlineLvl w:val="0"/>
        <w:rPr>
          <w:rFonts w:ascii="宋体" w:hAnsi="Courier New"/>
          <w:b/>
          <w:color w:val="auto"/>
          <w:sz w:val="32"/>
          <w:szCs w:val="32"/>
        </w:rPr>
      </w:pPr>
    </w:p>
    <w:bookmarkEnd w:id="26"/>
    <w:bookmarkEnd w:id="27"/>
    <w:bookmarkEnd w:id="28"/>
    <w:bookmarkEnd w:id="29"/>
    <w:p>
      <w:pPr>
        <w:spacing w:before="120" w:after="120" w:line="460" w:lineRule="exact"/>
        <w:jc w:val="center"/>
        <w:outlineLvl w:val="0"/>
        <w:rPr>
          <w:rFonts w:ascii="宋体" w:hAnsi="Courier New"/>
          <w:b/>
          <w:color w:val="auto"/>
          <w:sz w:val="32"/>
          <w:szCs w:val="32"/>
        </w:rPr>
      </w:pPr>
    </w:p>
    <w:p>
      <w:pPr>
        <w:spacing w:before="120" w:after="120" w:line="460" w:lineRule="exact"/>
        <w:jc w:val="center"/>
        <w:outlineLvl w:val="0"/>
        <w:rPr>
          <w:rFonts w:ascii="宋体" w:hAnsi="Courier New"/>
          <w:b/>
          <w:color w:val="auto"/>
          <w:sz w:val="32"/>
          <w:szCs w:val="32"/>
        </w:rPr>
      </w:pPr>
    </w:p>
    <w:p>
      <w:pPr>
        <w:spacing w:before="120" w:after="120" w:line="460" w:lineRule="exact"/>
        <w:jc w:val="center"/>
        <w:outlineLvl w:val="0"/>
        <w:rPr>
          <w:b/>
          <w:color w:val="auto"/>
          <w:sz w:val="32"/>
          <w:szCs w:val="32"/>
        </w:rPr>
      </w:pPr>
    </w:p>
    <w:p>
      <w:pPr>
        <w:pStyle w:val="47"/>
        <w:ind w:right="-351"/>
        <w:rPr>
          <w:color w:val="auto"/>
        </w:rPr>
      </w:pPr>
    </w:p>
    <w:p>
      <w:pPr>
        <w:pStyle w:val="47"/>
        <w:ind w:right="-351"/>
        <w:rPr>
          <w:color w:val="auto"/>
        </w:rPr>
      </w:pPr>
    </w:p>
    <w:p>
      <w:pPr>
        <w:pStyle w:val="47"/>
        <w:ind w:right="-351"/>
        <w:rPr>
          <w:color w:val="auto"/>
        </w:rPr>
      </w:pPr>
    </w:p>
    <w:p>
      <w:pPr>
        <w:pStyle w:val="47"/>
        <w:ind w:right="-351"/>
        <w:rPr>
          <w:color w:val="auto"/>
        </w:rPr>
      </w:pPr>
    </w:p>
    <w:p>
      <w:pPr>
        <w:pStyle w:val="47"/>
        <w:ind w:right="-351"/>
        <w:rPr>
          <w:color w:val="auto"/>
        </w:rPr>
      </w:pPr>
    </w:p>
    <w:p>
      <w:pPr>
        <w:pStyle w:val="47"/>
        <w:ind w:right="-351"/>
        <w:rPr>
          <w:color w:val="auto"/>
        </w:rPr>
      </w:pPr>
    </w:p>
    <w:p>
      <w:pPr>
        <w:pStyle w:val="47"/>
        <w:ind w:right="-351"/>
        <w:rPr>
          <w:color w:val="auto"/>
        </w:rPr>
      </w:pPr>
    </w:p>
    <w:p>
      <w:pPr>
        <w:pStyle w:val="47"/>
        <w:ind w:right="-351"/>
        <w:rPr>
          <w:color w:val="auto"/>
        </w:rPr>
      </w:pPr>
    </w:p>
    <w:p>
      <w:pPr>
        <w:spacing w:before="120" w:after="120" w:line="460" w:lineRule="exact"/>
        <w:jc w:val="center"/>
        <w:outlineLvl w:val="0"/>
        <w:rPr>
          <w:b/>
          <w:color w:val="auto"/>
          <w:sz w:val="32"/>
          <w:szCs w:val="32"/>
        </w:rPr>
      </w:pPr>
      <w:bookmarkStart w:id="30" w:name="_Toc120519619"/>
      <w:bookmarkStart w:id="31" w:name="_Toc130206654"/>
      <w:r>
        <w:rPr>
          <w:rFonts w:hint="eastAsia"/>
          <w:b/>
          <w:color w:val="auto"/>
          <w:sz w:val="32"/>
          <w:szCs w:val="32"/>
        </w:rPr>
        <w:t>（二）投标函</w:t>
      </w:r>
      <w:bookmarkEnd w:id="30"/>
      <w:bookmarkEnd w:id="31"/>
    </w:p>
    <w:p>
      <w:pPr>
        <w:spacing w:line="600" w:lineRule="exact"/>
        <w:jc w:val="left"/>
        <w:rPr>
          <w:rFonts w:ascii="宋体" w:hAnsi="宋体"/>
          <w:color w:val="auto"/>
          <w:sz w:val="24"/>
          <w:szCs w:val="24"/>
        </w:rPr>
      </w:pPr>
      <w:bookmarkStart w:id="32" w:name="_Toc120519620"/>
      <w:r>
        <w:rPr>
          <w:rFonts w:hint="eastAsia" w:ascii="宋体" w:hAnsi="宋体"/>
          <w:color w:val="auto"/>
          <w:sz w:val="24"/>
          <w:szCs w:val="24"/>
        </w:rPr>
        <w:t>采购人：</w:t>
      </w:r>
      <w:r>
        <w:rPr>
          <w:rFonts w:hint="eastAsia" w:ascii="宋体" w:hAnsi="宋体" w:cs="宋体"/>
          <w:b/>
          <w:bCs/>
          <w:color w:val="auto"/>
          <w:sz w:val="24"/>
          <w:szCs w:val="24"/>
          <w:u w:val="single"/>
        </w:rPr>
        <w:t>建湖县公安局</w:t>
      </w:r>
    </w:p>
    <w:p>
      <w:pPr>
        <w:spacing w:line="440" w:lineRule="exact"/>
        <w:ind w:firstLine="420"/>
        <w:rPr>
          <w:rFonts w:ascii="宋体" w:hAnsi="宋体" w:cs="宋体"/>
          <w:color w:val="auto"/>
          <w:szCs w:val="21"/>
        </w:rPr>
      </w:pPr>
      <w:r>
        <w:rPr>
          <w:rFonts w:hint="eastAsia" w:ascii="宋体" w:hAnsi="宋体" w:cs="宋体"/>
          <w:color w:val="auto"/>
          <w:szCs w:val="21"/>
        </w:rPr>
        <w:t>1、根据已查看的</w:t>
      </w:r>
      <w:r>
        <w:rPr>
          <w:rFonts w:hint="eastAsia" w:ascii="宋体" w:hAnsi="宋体" w:cs="宋体"/>
          <w:b/>
          <w:bCs/>
          <w:color w:val="auto"/>
          <w:szCs w:val="21"/>
          <w:u w:val="single"/>
          <w:lang w:eastAsia="zh-CN"/>
        </w:rPr>
        <w:t>建湖县公安局智能枪弹库建设采购项目</w:t>
      </w:r>
      <w:r>
        <w:rPr>
          <w:rFonts w:hint="eastAsia" w:ascii="宋体" w:hAnsi="宋体" w:cs="宋体"/>
          <w:color w:val="auto"/>
          <w:szCs w:val="21"/>
        </w:rPr>
        <w:t>的招标文件，遵照相关规定，</w:t>
      </w:r>
      <w:r>
        <w:rPr>
          <w:rFonts w:ascii="宋体" w:hAnsi="宋体"/>
          <w:color w:val="auto"/>
          <w:szCs w:val="21"/>
        </w:rPr>
        <w:t>我单位经市场考察和研究上述项目招标文件的投标须知、相关标准及技术要求和其他有关文件后，我方愿以人民币（大写）：</w:t>
      </w:r>
      <w:r>
        <w:rPr>
          <w:rFonts w:ascii="宋体" w:hAnsi="宋体"/>
          <w:color w:val="auto"/>
          <w:szCs w:val="21"/>
          <w:u w:val="single"/>
        </w:rPr>
        <w:t xml:space="preserve">             （</w:t>
      </w:r>
      <w:r>
        <w:rPr>
          <w:rFonts w:ascii="宋体" w:hAnsi="宋体"/>
          <w:color w:val="auto"/>
          <w:szCs w:val="21"/>
        </w:rPr>
        <w:t>小写）：￥</w:t>
      </w:r>
      <w:r>
        <w:rPr>
          <w:rFonts w:ascii="宋体" w:hAnsi="宋体"/>
          <w:color w:val="auto"/>
          <w:szCs w:val="21"/>
          <w:u w:val="single"/>
        </w:rPr>
        <w:t xml:space="preserve">              </w:t>
      </w:r>
      <w:r>
        <w:rPr>
          <w:rFonts w:ascii="宋体" w:hAnsi="宋体"/>
          <w:color w:val="auto"/>
          <w:szCs w:val="21"/>
        </w:rPr>
        <w:t>的投标报价（含</w:t>
      </w:r>
      <w:r>
        <w:rPr>
          <w:rFonts w:hint="eastAsia" w:ascii="宋体" w:hAnsi="宋体"/>
          <w:color w:val="auto"/>
          <w:szCs w:val="21"/>
        </w:rPr>
        <w:t>招标代理费等</w:t>
      </w:r>
      <w:r>
        <w:rPr>
          <w:rFonts w:ascii="宋体" w:hAnsi="宋体"/>
          <w:color w:val="auto"/>
          <w:szCs w:val="21"/>
        </w:rPr>
        <w:t>）完成本项目，并按上述要求实施此项目</w:t>
      </w:r>
      <w:r>
        <w:rPr>
          <w:rFonts w:hint="eastAsia" w:ascii="宋体" w:hAnsi="宋体" w:cs="宋体"/>
          <w:color w:val="auto"/>
          <w:szCs w:val="21"/>
        </w:rPr>
        <w:t>。</w:t>
      </w:r>
    </w:p>
    <w:p>
      <w:pPr>
        <w:spacing w:line="440" w:lineRule="exact"/>
        <w:ind w:firstLine="420"/>
        <w:rPr>
          <w:rFonts w:ascii="宋体" w:hAnsi="宋体" w:cs="宋体"/>
          <w:color w:val="auto"/>
          <w:szCs w:val="21"/>
        </w:rPr>
      </w:pPr>
      <w:r>
        <w:rPr>
          <w:rFonts w:hint="eastAsia" w:ascii="宋体" w:hAnsi="宋体" w:cs="宋体"/>
          <w:color w:val="auto"/>
          <w:szCs w:val="21"/>
        </w:rPr>
        <w:t>2、一旦我方中标，我方保证立即实施此项目，并</w:t>
      </w:r>
      <w:r>
        <w:rPr>
          <w:rFonts w:hint="eastAsia" w:ascii="宋体" w:hAnsi="宋体" w:cs="宋体"/>
          <w:color w:val="auto"/>
          <w:szCs w:val="21"/>
          <w:highlight w:val="none"/>
        </w:rPr>
        <w:t>在合同签订后30个日历天内</w:t>
      </w:r>
      <w:r>
        <w:rPr>
          <w:rFonts w:hint="eastAsia" w:ascii="宋体" w:hAnsi="宋体" w:cs="宋体"/>
          <w:color w:val="auto"/>
          <w:szCs w:val="21"/>
        </w:rPr>
        <w:t>完成全部供货、安装、调试并经验收合格。</w:t>
      </w:r>
    </w:p>
    <w:p>
      <w:pPr>
        <w:spacing w:line="440" w:lineRule="exact"/>
        <w:ind w:firstLine="420"/>
        <w:rPr>
          <w:rFonts w:ascii="宋体" w:hAnsi="宋体" w:cs="宋体"/>
          <w:bCs/>
          <w:color w:val="auto"/>
          <w:szCs w:val="21"/>
        </w:rPr>
      </w:pPr>
      <w:r>
        <w:rPr>
          <w:rFonts w:hint="eastAsia" w:ascii="宋体" w:hAnsi="宋体" w:cs="宋体"/>
          <w:color w:val="auto"/>
          <w:szCs w:val="21"/>
        </w:rPr>
        <w:t>3、</w:t>
      </w:r>
      <w:r>
        <w:rPr>
          <w:rFonts w:hint="eastAsia" w:ascii="宋体" w:hAnsi="宋体" w:cs="宋体"/>
          <w:bCs/>
          <w:color w:val="auto"/>
          <w:szCs w:val="21"/>
        </w:rPr>
        <w:t>我方承诺</w:t>
      </w:r>
      <w:r>
        <w:rPr>
          <w:rFonts w:hint="eastAsia" w:ascii="宋体" w:hAnsi="宋体" w:cs="宋体"/>
          <w:color w:val="auto"/>
          <w:szCs w:val="21"/>
        </w:rPr>
        <w:t>所投产品免费原厂质保期为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rPr>
        <w:t>。免费质保期间出现的问题，在2小时内响应，12个小时内到达现场，48小时内修复。如需要更换设备或送修，必须在7个工作日内完成，并提供备品。</w:t>
      </w:r>
      <w:r>
        <w:rPr>
          <w:rFonts w:hint="eastAsia" w:ascii="宋体" w:hAnsi="宋体" w:cs="宋体"/>
          <w:bCs/>
          <w:color w:val="auto"/>
          <w:szCs w:val="21"/>
        </w:rPr>
        <w:t>如我方供应的产品因质量原因不能通过相关权威部门的验收，我方无偿更换全部产品，不收取任何费用，并承担相应责任。</w:t>
      </w:r>
    </w:p>
    <w:p>
      <w:pPr>
        <w:spacing w:line="440" w:lineRule="exact"/>
        <w:ind w:firstLine="420"/>
        <w:rPr>
          <w:rFonts w:ascii="宋体" w:hAnsi="宋体" w:cs="宋体"/>
          <w:color w:val="auto"/>
          <w:szCs w:val="21"/>
        </w:rPr>
      </w:pPr>
      <w:r>
        <w:rPr>
          <w:rFonts w:hint="eastAsia" w:ascii="宋体" w:hAnsi="宋体" w:cs="宋体"/>
          <w:color w:val="auto"/>
          <w:szCs w:val="21"/>
        </w:rPr>
        <w:t>4、我方接受招标文件中的价款支付条件。</w:t>
      </w:r>
    </w:p>
    <w:p>
      <w:pPr>
        <w:spacing w:line="440" w:lineRule="exact"/>
        <w:ind w:firstLine="420"/>
        <w:rPr>
          <w:rFonts w:ascii="宋体" w:hAnsi="宋体" w:cs="宋体"/>
          <w:color w:val="auto"/>
          <w:szCs w:val="21"/>
        </w:rPr>
      </w:pPr>
      <w:r>
        <w:rPr>
          <w:rFonts w:hint="eastAsia" w:ascii="宋体" w:hAnsi="宋体" w:cs="宋体"/>
          <w:color w:val="auto"/>
          <w:szCs w:val="21"/>
        </w:rPr>
        <w:t>5、如果我们在招标文件规定的截止时间后撤回投标文件；或在接到中标通知书后30天内未能或拒绝签订合同协议书，你单位有权另选中标单位。</w:t>
      </w:r>
    </w:p>
    <w:p>
      <w:pPr>
        <w:spacing w:line="440" w:lineRule="exact"/>
        <w:ind w:firstLine="420"/>
        <w:rPr>
          <w:rFonts w:ascii="宋体" w:hAnsi="宋体"/>
          <w:b/>
          <w:bCs/>
          <w:color w:val="auto"/>
          <w:szCs w:val="21"/>
        </w:rPr>
      </w:pPr>
      <w:r>
        <w:rPr>
          <w:rFonts w:hint="eastAsia" w:ascii="宋体" w:hAnsi="宋体" w:cs="宋体"/>
          <w:color w:val="auto"/>
          <w:szCs w:val="21"/>
        </w:rPr>
        <w:t>6、如我方中标，我方承诺在签订合同前向采购人交纳招标文件规定的履约保证金。</w:t>
      </w:r>
    </w:p>
    <w:p>
      <w:pPr>
        <w:spacing w:line="440" w:lineRule="exact"/>
        <w:ind w:firstLine="420"/>
        <w:rPr>
          <w:rFonts w:ascii="宋体" w:hAnsi="宋体" w:cs="宋体"/>
          <w:color w:val="auto"/>
          <w:szCs w:val="21"/>
        </w:rPr>
      </w:pPr>
      <w:r>
        <w:rPr>
          <w:rFonts w:hint="eastAsia" w:ascii="宋体" w:hAnsi="宋体" w:cs="宋体"/>
          <w:color w:val="auto"/>
          <w:szCs w:val="21"/>
        </w:rPr>
        <w:t>7、我方投标文件提供的所有资料真实、有效，如有不实，我方无条件接受采购人和主管部门依据法律法规做出的处理决定，并承担由此产生的责任。</w:t>
      </w:r>
    </w:p>
    <w:p>
      <w:pPr>
        <w:spacing w:line="440" w:lineRule="exact"/>
        <w:ind w:firstLine="420"/>
        <w:rPr>
          <w:rFonts w:ascii="宋体" w:hAnsi="宋体" w:cs="宋体"/>
          <w:color w:val="auto"/>
          <w:szCs w:val="21"/>
        </w:rPr>
      </w:pPr>
      <w:r>
        <w:rPr>
          <w:rFonts w:hint="eastAsia" w:ascii="宋体" w:hAnsi="宋体" w:cs="宋体"/>
          <w:color w:val="auto"/>
          <w:szCs w:val="21"/>
        </w:rPr>
        <w:t>8、你方的中标通知书和本承诺书将成为约束双方合同文件的组成部分。</w:t>
      </w:r>
    </w:p>
    <w:p>
      <w:pPr>
        <w:spacing w:line="480" w:lineRule="exact"/>
        <w:ind w:firstLine="600"/>
        <w:rPr>
          <w:rFonts w:ascii="宋体" w:hAnsi="宋体"/>
          <w:color w:val="auto"/>
          <w:sz w:val="24"/>
          <w:szCs w:val="20"/>
        </w:rPr>
      </w:pPr>
      <w:r>
        <w:rPr>
          <w:rFonts w:hint="eastAsia" w:ascii="宋体" w:hAnsi="宋体"/>
          <w:color w:val="auto"/>
          <w:sz w:val="24"/>
          <w:szCs w:val="20"/>
        </w:rPr>
        <w:t>投标人：(盖章)</w:t>
      </w:r>
    </w:p>
    <w:p>
      <w:pPr>
        <w:spacing w:line="480" w:lineRule="exact"/>
        <w:ind w:firstLine="598"/>
        <w:rPr>
          <w:rFonts w:ascii="宋体" w:hAnsi="宋体"/>
          <w:color w:val="auto"/>
          <w:sz w:val="24"/>
          <w:szCs w:val="20"/>
        </w:rPr>
      </w:pPr>
    </w:p>
    <w:p>
      <w:pPr>
        <w:spacing w:line="480" w:lineRule="exact"/>
        <w:ind w:firstLine="598"/>
        <w:rPr>
          <w:rFonts w:ascii="宋体" w:hAnsi="宋体"/>
          <w:color w:val="auto"/>
          <w:sz w:val="24"/>
          <w:szCs w:val="20"/>
        </w:rPr>
      </w:pPr>
      <w:r>
        <w:rPr>
          <w:rFonts w:hint="eastAsia" w:ascii="宋体" w:hAnsi="宋体"/>
          <w:color w:val="auto"/>
          <w:sz w:val="24"/>
          <w:szCs w:val="20"/>
        </w:rPr>
        <w:t xml:space="preserve">法定代表人或委托代理人：(盖章或签字)                                       </w:t>
      </w:r>
    </w:p>
    <w:p>
      <w:pPr>
        <w:spacing w:line="480" w:lineRule="exact"/>
        <w:ind w:right="480"/>
        <w:jc w:val="right"/>
        <w:rPr>
          <w:rFonts w:ascii="宋体" w:hAnsi="宋体"/>
          <w:color w:val="auto"/>
          <w:sz w:val="24"/>
          <w:szCs w:val="20"/>
        </w:rPr>
      </w:pPr>
    </w:p>
    <w:p>
      <w:pPr>
        <w:spacing w:line="480" w:lineRule="exact"/>
        <w:ind w:right="480"/>
        <w:jc w:val="right"/>
        <w:rPr>
          <w:rFonts w:ascii="宋体" w:hAnsi="宋体"/>
          <w:color w:val="auto"/>
          <w:szCs w:val="20"/>
        </w:rPr>
      </w:pPr>
      <w:r>
        <w:rPr>
          <w:rFonts w:hint="eastAsia" w:ascii="宋体" w:hAnsi="宋体"/>
          <w:color w:val="auto"/>
          <w:sz w:val="24"/>
          <w:szCs w:val="20"/>
        </w:rPr>
        <w:t>日期：</w:t>
      </w:r>
      <w:r>
        <w:rPr>
          <w:rFonts w:hint="eastAsia" w:ascii="宋体" w:hAnsi="宋体"/>
          <w:color w:val="auto"/>
          <w:sz w:val="24"/>
          <w:szCs w:val="20"/>
          <w:u w:val="single"/>
        </w:rPr>
        <w:t xml:space="preserve">     </w:t>
      </w:r>
      <w:r>
        <w:rPr>
          <w:rFonts w:hint="eastAsia" w:ascii="宋体" w:hAnsi="宋体"/>
          <w:color w:val="auto"/>
          <w:sz w:val="24"/>
          <w:szCs w:val="20"/>
        </w:rPr>
        <w:t>年</w:t>
      </w:r>
      <w:r>
        <w:rPr>
          <w:rFonts w:hint="eastAsia" w:ascii="宋体" w:hAnsi="宋体"/>
          <w:color w:val="auto"/>
          <w:sz w:val="24"/>
          <w:szCs w:val="20"/>
          <w:u w:val="single"/>
        </w:rPr>
        <w:t xml:space="preserve">     </w:t>
      </w:r>
      <w:r>
        <w:rPr>
          <w:rFonts w:hint="eastAsia" w:ascii="宋体" w:hAnsi="宋体"/>
          <w:color w:val="auto"/>
          <w:sz w:val="24"/>
          <w:szCs w:val="20"/>
        </w:rPr>
        <w:t>月</w:t>
      </w:r>
      <w:r>
        <w:rPr>
          <w:rFonts w:hint="eastAsia" w:ascii="宋体" w:hAnsi="宋体"/>
          <w:color w:val="auto"/>
          <w:sz w:val="24"/>
          <w:szCs w:val="20"/>
          <w:u w:val="single"/>
        </w:rPr>
        <w:t xml:space="preserve">    </w:t>
      </w:r>
      <w:r>
        <w:rPr>
          <w:rFonts w:hint="eastAsia" w:ascii="宋体" w:hAnsi="宋体"/>
          <w:color w:val="auto"/>
          <w:sz w:val="24"/>
          <w:szCs w:val="20"/>
        </w:rPr>
        <w:t>日</w:t>
      </w:r>
    </w:p>
    <w:p>
      <w:pPr>
        <w:spacing w:before="120" w:after="120" w:line="460" w:lineRule="exact"/>
        <w:jc w:val="center"/>
        <w:outlineLvl w:val="0"/>
        <w:rPr>
          <w:rFonts w:ascii="宋体" w:hAnsi="Courier New"/>
          <w:b/>
          <w:color w:val="auto"/>
          <w:sz w:val="32"/>
          <w:szCs w:val="32"/>
        </w:rPr>
      </w:pPr>
      <w:bookmarkStart w:id="33" w:name="_Toc130206655"/>
    </w:p>
    <w:p>
      <w:pPr>
        <w:spacing w:before="120" w:after="120" w:line="460" w:lineRule="exact"/>
        <w:jc w:val="center"/>
        <w:outlineLvl w:val="0"/>
        <w:rPr>
          <w:rFonts w:ascii="宋体" w:hAnsi="Courier New"/>
          <w:b/>
          <w:color w:val="auto"/>
          <w:sz w:val="32"/>
          <w:szCs w:val="32"/>
        </w:rPr>
      </w:pPr>
    </w:p>
    <w:p>
      <w:pPr>
        <w:spacing w:before="120" w:after="120" w:line="460" w:lineRule="exact"/>
        <w:jc w:val="center"/>
        <w:outlineLvl w:val="0"/>
        <w:rPr>
          <w:rFonts w:ascii="宋体" w:hAnsi="Courier New"/>
          <w:b/>
          <w:color w:val="auto"/>
          <w:sz w:val="32"/>
          <w:szCs w:val="32"/>
        </w:rPr>
      </w:pPr>
    </w:p>
    <w:p>
      <w:pPr>
        <w:spacing w:before="120" w:after="120" w:line="460" w:lineRule="exact"/>
        <w:jc w:val="center"/>
        <w:outlineLvl w:val="0"/>
        <w:rPr>
          <w:rFonts w:ascii="宋体" w:hAnsi="Courier New"/>
          <w:b/>
          <w:color w:val="auto"/>
          <w:sz w:val="32"/>
          <w:szCs w:val="32"/>
        </w:rPr>
      </w:pPr>
    </w:p>
    <w:p>
      <w:pPr>
        <w:spacing w:before="120" w:after="120" w:line="460" w:lineRule="exact"/>
        <w:jc w:val="center"/>
        <w:outlineLvl w:val="0"/>
        <w:rPr>
          <w:rFonts w:ascii="宋体" w:hAnsi="Courier New"/>
          <w:b/>
          <w:color w:val="auto"/>
          <w:sz w:val="32"/>
          <w:szCs w:val="32"/>
        </w:rPr>
      </w:pPr>
    </w:p>
    <w:p>
      <w:pPr>
        <w:spacing w:before="120" w:after="120" w:line="460" w:lineRule="exact"/>
        <w:jc w:val="center"/>
        <w:outlineLvl w:val="0"/>
        <w:rPr>
          <w:rFonts w:ascii="宋体" w:hAnsi="Courier New"/>
          <w:b/>
          <w:color w:val="auto"/>
          <w:sz w:val="32"/>
          <w:szCs w:val="32"/>
        </w:rPr>
      </w:pPr>
      <w:r>
        <w:rPr>
          <w:rFonts w:hint="eastAsia" w:ascii="宋体" w:hAnsi="Courier New"/>
          <w:b/>
          <w:color w:val="auto"/>
          <w:sz w:val="32"/>
          <w:szCs w:val="32"/>
        </w:rPr>
        <w:t>（三）无</w:t>
      </w:r>
      <w:r>
        <w:rPr>
          <w:rFonts w:ascii="宋体" w:hAnsi="Courier New"/>
          <w:b/>
          <w:color w:val="auto"/>
          <w:sz w:val="32"/>
          <w:szCs w:val="32"/>
        </w:rPr>
        <w:t>重大违法记录</w:t>
      </w:r>
      <w:r>
        <w:rPr>
          <w:rFonts w:hint="eastAsia" w:ascii="宋体" w:hAnsi="Courier New"/>
          <w:b/>
          <w:color w:val="auto"/>
          <w:sz w:val="32"/>
          <w:szCs w:val="32"/>
        </w:rPr>
        <w:t>声明函</w:t>
      </w:r>
      <w:bookmarkEnd w:id="32"/>
      <w:bookmarkEnd w:id="33"/>
    </w:p>
    <w:p>
      <w:pPr>
        <w:spacing w:before="120" w:after="120" w:line="240" w:lineRule="exact"/>
        <w:jc w:val="center"/>
        <w:outlineLvl w:val="0"/>
        <w:rPr>
          <w:rFonts w:ascii="宋体" w:hAnsi="Courier New"/>
          <w:b/>
          <w:color w:val="auto"/>
          <w:sz w:val="32"/>
          <w:szCs w:val="32"/>
        </w:rPr>
      </w:pPr>
    </w:p>
    <w:p>
      <w:pPr>
        <w:pStyle w:val="21"/>
        <w:spacing w:line="600" w:lineRule="exact"/>
        <w:rPr>
          <w:color w:val="auto"/>
          <w:sz w:val="24"/>
        </w:rPr>
      </w:pPr>
      <w:r>
        <w:rPr>
          <w:rFonts w:hint="eastAsia"/>
          <w:b/>
          <w:color w:val="auto"/>
          <w:sz w:val="24"/>
        </w:rPr>
        <w:t>采购人：</w:t>
      </w:r>
      <w:r>
        <w:rPr>
          <w:rFonts w:hint="eastAsia" w:hAnsi="宋体" w:cs="Arial"/>
          <w:b/>
          <w:color w:val="auto"/>
          <w:sz w:val="24"/>
          <w:u w:val="single"/>
        </w:rPr>
        <w:t xml:space="preserve">建湖县公安局 </w:t>
      </w:r>
    </w:p>
    <w:p>
      <w:pPr>
        <w:spacing w:line="600" w:lineRule="exact"/>
        <w:rPr>
          <w:rFonts w:ascii="宋体" w:hAnsi="宋体"/>
          <w:color w:val="auto"/>
          <w:sz w:val="24"/>
        </w:rPr>
      </w:pPr>
      <w:r>
        <w:rPr>
          <w:rFonts w:hint="eastAsia" w:ascii="黑体" w:hAnsi="Arial" w:eastAsia="黑体"/>
          <w:color w:val="auto"/>
          <w:sz w:val="36"/>
          <w:szCs w:val="36"/>
        </w:rPr>
        <w:t xml:space="preserve">   </w:t>
      </w:r>
      <w:r>
        <w:rPr>
          <w:rFonts w:hint="eastAsia" w:ascii="宋体" w:hAnsi="宋体"/>
          <w:color w:val="auto"/>
          <w:sz w:val="24"/>
        </w:rPr>
        <w:t>我公司自愿参与贵单位组织实施的</w:t>
      </w:r>
      <w:r>
        <w:rPr>
          <w:rFonts w:hint="eastAsia" w:ascii="宋体" w:hAnsi="宋体" w:cs="Arial"/>
          <w:color w:val="auto"/>
          <w:sz w:val="24"/>
          <w:u w:val="single"/>
          <w:lang w:eastAsia="zh-CN"/>
        </w:rPr>
        <w:t>建湖县公安局智能枪弹库建设采购项目</w:t>
      </w:r>
      <w:r>
        <w:rPr>
          <w:rFonts w:hint="eastAsia" w:ascii="宋体" w:hAnsi="宋体"/>
          <w:color w:val="auto"/>
          <w:sz w:val="24"/>
        </w:rPr>
        <w:t>的投标。我单位</w:t>
      </w:r>
      <w:r>
        <w:rPr>
          <w:rFonts w:ascii="宋体" w:hAnsi="宋体" w:cs="Arial"/>
          <w:bCs/>
          <w:color w:val="auto"/>
          <w:sz w:val="24"/>
        </w:rPr>
        <w:t>参加本次政府采购活动前三年内，在经营活动中</w:t>
      </w:r>
      <w:r>
        <w:rPr>
          <w:rFonts w:hint="eastAsia" w:ascii="宋体" w:hAnsi="宋体" w:cs="Arial"/>
          <w:bCs/>
          <w:color w:val="auto"/>
          <w:sz w:val="24"/>
          <w:u w:val="single"/>
        </w:rPr>
        <w:t>没有</w:t>
      </w:r>
      <w:r>
        <w:rPr>
          <w:rFonts w:ascii="宋体" w:hAnsi="宋体" w:cs="Arial"/>
          <w:bCs/>
          <w:color w:val="auto"/>
          <w:sz w:val="24"/>
        </w:rPr>
        <w:t>重大违法记录</w:t>
      </w:r>
      <w:r>
        <w:rPr>
          <w:rFonts w:hint="eastAsia" w:ascii="宋体" w:hAnsi="宋体" w:cs="Arial"/>
          <w:bCs/>
          <w:color w:val="auto"/>
          <w:sz w:val="24"/>
        </w:rPr>
        <w:t>（重大违法记录是指因违法经营受到刑事处罚或者责令停产停业、吊销许可证或者执照、较大数额罚款等行政处罚）。</w:t>
      </w:r>
      <w:r>
        <w:rPr>
          <w:rFonts w:hint="eastAsia" w:ascii="宋体" w:hAnsi="宋体"/>
          <w:color w:val="auto"/>
          <w:sz w:val="24"/>
        </w:rPr>
        <w:t>若与真实情况不符，本公司愿意承担由此而产生的一切后果。</w:t>
      </w:r>
    </w:p>
    <w:p>
      <w:pPr>
        <w:spacing w:line="600" w:lineRule="exact"/>
        <w:ind w:firstLine="480"/>
        <w:rPr>
          <w:rFonts w:ascii="宋体" w:hAnsi="宋体"/>
          <w:color w:val="auto"/>
          <w:sz w:val="24"/>
        </w:rPr>
      </w:pPr>
    </w:p>
    <w:p>
      <w:pPr>
        <w:spacing w:line="600" w:lineRule="exact"/>
        <w:ind w:firstLine="480"/>
        <w:rPr>
          <w:rFonts w:ascii="宋体" w:hAnsi="宋体"/>
          <w:color w:val="auto"/>
          <w:sz w:val="24"/>
        </w:rPr>
      </w:pPr>
      <w:r>
        <w:rPr>
          <w:rFonts w:hint="eastAsia" w:ascii="宋体" w:hAnsi="宋体"/>
          <w:color w:val="auto"/>
          <w:sz w:val="24"/>
        </w:rPr>
        <w:t>特此声明！</w:t>
      </w:r>
    </w:p>
    <w:p>
      <w:pPr>
        <w:spacing w:line="600" w:lineRule="exact"/>
        <w:ind w:firstLine="480"/>
        <w:rPr>
          <w:rFonts w:ascii="宋体" w:hAnsi="宋体"/>
          <w:b/>
          <w:color w:val="auto"/>
          <w:sz w:val="24"/>
        </w:rPr>
      </w:pPr>
    </w:p>
    <w:p>
      <w:pPr>
        <w:pStyle w:val="21"/>
        <w:spacing w:line="480" w:lineRule="exact"/>
        <w:ind w:firstLine="461"/>
        <w:rPr>
          <w:rFonts w:hAnsi="宋体"/>
          <w:color w:val="auto"/>
          <w:sz w:val="24"/>
        </w:rPr>
      </w:pPr>
      <w:r>
        <w:rPr>
          <w:rFonts w:hint="eastAsia" w:hAnsi="宋体"/>
          <w:color w:val="auto"/>
          <w:sz w:val="24"/>
        </w:rPr>
        <w:t>投标单位：(盖章)</w:t>
      </w:r>
    </w:p>
    <w:p>
      <w:pPr>
        <w:pStyle w:val="21"/>
        <w:spacing w:line="480" w:lineRule="exact"/>
        <w:ind w:firstLine="461"/>
        <w:rPr>
          <w:rFonts w:hAnsi="宋体"/>
          <w:color w:val="auto"/>
          <w:sz w:val="24"/>
        </w:rPr>
      </w:pPr>
    </w:p>
    <w:p>
      <w:pPr>
        <w:pStyle w:val="21"/>
        <w:spacing w:line="480" w:lineRule="exact"/>
        <w:ind w:firstLine="461"/>
        <w:rPr>
          <w:rFonts w:hAnsi="宋体"/>
          <w:color w:val="auto"/>
          <w:sz w:val="24"/>
        </w:rPr>
      </w:pPr>
      <w:r>
        <w:rPr>
          <w:rFonts w:hint="eastAsia" w:hAnsi="宋体"/>
          <w:color w:val="auto"/>
          <w:sz w:val="24"/>
        </w:rPr>
        <w:t>法定代表人或委托代理人：(盖章或签字)</w:t>
      </w:r>
    </w:p>
    <w:p>
      <w:pPr>
        <w:pStyle w:val="21"/>
        <w:spacing w:line="480" w:lineRule="exact"/>
        <w:ind w:left="5250" w:firstLine="403"/>
        <w:rPr>
          <w:rFonts w:hAnsi="宋体"/>
          <w:color w:val="auto"/>
        </w:rPr>
      </w:pPr>
    </w:p>
    <w:p>
      <w:pPr>
        <w:pStyle w:val="21"/>
        <w:spacing w:line="480" w:lineRule="exact"/>
        <w:ind w:left="5250" w:firstLine="403"/>
        <w:rPr>
          <w:rFonts w:hAnsi="宋体"/>
          <w:color w:val="auto"/>
        </w:rPr>
      </w:pPr>
    </w:p>
    <w:p>
      <w:pPr>
        <w:jc w:val="right"/>
        <w:rPr>
          <w:color w:val="auto"/>
          <w:sz w:val="24"/>
        </w:rPr>
      </w:pPr>
      <w:r>
        <w:rPr>
          <w:rFonts w:hint="eastAsia"/>
          <w:color w:val="auto"/>
          <w:sz w:val="24"/>
        </w:rPr>
        <w:t xml:space="preserve">日 </w:t>
      </w:r>
      <w:r>
        <w:rPr>
          <w:color w:val="auto"/>
          <w:sz w:val="24"/>
        </w:rPr>
        <w:t xml:space="preserve">  </w:t>
      </w:r>
      <w:r>
        <w:rPr>
          <w:rFonts w:hint="eastAsia"/>
          <w:color w:val="auto"/>
          <w:sz w:val="24"/>
        </w:rPr>
        <w:t>期：    年   月   日</w:t>
      </w:r>
    </w:p>
    <w:p>
      <w:pPr>
        <w:spacing w:line="360" w:lineRule="auto"/>
        <w:ind w:left="1446" w:hanging="1446"/>
        <w:jc w:val="center"/>
        <w:rPr>
          <w:rFonts w:ascii="宋体" w:hAnsi="宋体"/>
          <w:b/>
          <w:color w:val="auto"/>
          <w:sz w:val="36"/>
          <w:szCs w:val="36"/>
        </w:rPr>
      </w:pPr>
    </w:p>
    <w:p>
      <w:pPr>
        <w:spacing w:line="360" w:lineRule="auto"/>
        <w:ind w:left="1446" w:hanging="1446"/>
        <w:jc w:val="center"/>
        <w:rPr>
          <w:rFonts w:ascii="宋体" w:hAnsi="宋体"/>
          <w:b/>
          <w:color w:val="auto"/>
          <w:sz w:val="36"/>
          <w:szCs w:val="36"/>
        </w:rPr>
      </w:pPr>
    </w:p>
    <w:p>
      <w:pPr>
        <w:spacing w:line="360" w:lineRule="auto"/>
        <w:ind w:left="1446" w:hanging="1446"/>
        <w:jc w:val="center"/>
        <w:rPr>
          <w:rFonts w:ascii="宋体" w:hAnsi="宋体"/>
          <w:b/>
          <w:color w:val="auto"/>
          <w:sz w:val="36"/>
          <w:szCs w:val="36"/>
        </w:rPr>
      </w:pPr>
    </w:p>
    <w:p>
      <w:pPr>
        <w:spacing w:line="360" w:lineRule="auto"/>
        <w:ind w:left="1446" w:hanging="1446"/>
        <w:jc w:val="center"/>
        <w:rPr>
          <w:rFonts w:ascii="宋体" w:hAnsi="宋体"/>
          <w:b/>
          <w:color w:val="auto"/>
          <w:sz w:val="36"/>
          <w:szCs w:val="36"/>
        </w:rPr>
      </w:pPr>
    </w:p>
    <w:p>
      <w:pPr>
        <w:spacing w:line="360" w:lineRule="auto"/>
        <w:ind w:left="1446" w:hanging="1446"/>
        <w:jc w:val="center"/>
        <w:rPr>
          <w:rFonts w:ascii="宋体" w:hAnsi="宋体"/>
          <w:b/>
          <w:color w:val="auto"/>
          <w:sz w:val="36"/>
          <w:szCs w:val="36"/>
        </w:rPr>
      </w:pPr>
    </w:p>
    <w:p>
      <w:pPr>
        <w:spacing w:line="360" w:lineRule="auto"/>
        <w:ind w:left="1446" w:hanging="1446"/>
        <w:jc w:val="center"/>
        <w:rPr>
          <w:rFonts w:ascii="宋体" w:hAnsi="宋体"/>
          <w:b/>
          <w:color w:val="auto"/>
          <w:sz w:val="36"/>
          <w:szCs w:val="36"/>
        </w:rPr>
      </w:pPr>
    </w:p>
    <w:p>
      <w:pPr>
        <w:pStyle w:val="16"/>
        <w:rPr>
          <w:color w:val="auto"/>
          <w:lang w:eastAsia="zh-CN"/>
        </w:rPr>
      </w:pPr>
    </w:p>
    <w:p>
      <w:pPr>
        <w:pStyle w:val="49"/>
        <w:rPr>
          <w:color w:val="auto"/>
        </w:rPr>
      </w:pPr>
    </w:p>
    <w:p>
      <w:pPr>
        <w:pStyle w:val="51"/>
        <w:rPr>
          <w:color w:val="auto"/>
        </w:rPr>
      </w:pPr>
    </w:p>
    <w:p>
      <w:pPr>
        <w:spacing w:before="120" w:after="120" w:line="460" w:lineRule="exact"/>
        <w:jc w:val="center"/>
        <w:outlineLvl w:val="0"/>
        <w:rPr>
          <w:rFonts w:hint="eastAsia" w:ascii="宋体" w:hAnsi="Courier New"/>
          <w:b/>
          <w:color w:val="auto"/>
          <w:sz w:val="32"/>
          <w:szCs w:val="32"/>
        </w:rPr>
        <w:sectPr>
          <w:footerReference r:id="rId5" w:type="default"/>
          <w:pgSz w:w="11906" w:h="16838"/>
          <w:pgMar w:top="1418" w:right="1418" w:bottom="1191" w:left="1276" w:header="851" w:footer="992" w:gutter="0"/>
          <w:pgNumType w:start="60"/>
          <w:cols w:space="720" w:num="1"/>
          <w:docGrid w:linePitch="360" w:charSpace="0"/>
        </w:sectPr>
      </w:pPr>
      <w:bookmarkStart w:id="34" w:name="_Toc130206656"/>
      <w:bookmarkStart w:id="35" w:name="_Toc120519621"/>
    </w:p>
    <w:p>
      <w:pPr>
        <w:spacing w:before="120" w:after="120" w:line="460" w:lineRule="exact"/>
        <w:jc w:val="center"/>
        <w:outlineLvl w:val="0"/>
        <w:rPr>
          <w:rFonts w:ascii="宋体" w:hAnsi="Courier New"/>
          <w:b/>
          <w:color w:val="auto"/>
          <w:sz w:val="32"/>
          <w:szCs w:val="32"/>
        </w:rPr>
      </w:pPr>
      <w:r>
        <w:rPr>
          <w:rFonts w:hint="eastAsia" w:ascii="宋体" w:hAnsi="Courier New"/>
          <w:b/>
          <w:color w:val="auto"/>
          <w:sz w:val="32"/>
          <w:szCs w:val="32"/>
        </w:rPr>
        <w:t>（四）供应商登记表</w:t>
      </w:r>
      <w:bookmarkEnd w:id="34"/>
      <w:bookmarkEnd w:id="35"/>
    </w:p>
    <w:p>
      <w:pPr>
        <w:spacing w:line="360" w:lineRule="auto"/>
        <w:ind w:left="1447" w:firstLine="5650"/>
        <w:rPr>
          <w:rFonts w:ascii="宋体" w:hAnsi="宋体" w:cs="宋体"/>
          <w:b/>
          <w:color w:val="auto"/>
          <w:sz w:val="36"/>
        </w:rPr>
      </w:pPr>
      <w:r>
        <w:rPr>
          <w:rFonts w:hint="eastAsia" w:ascii="宋体" w:hAnsi="宋体" w:cs="宋体"/>
          <w:color w:val="auto"/>
          <w:sz w:val="24"/>
        </w:rPr>
        <w:t>年   月   日</w:t>
      </w:r>
    </w:p>
    <w:tbl>
      <w:tblPr>
        <w:tblStyle w:val="39"/>
        <w:tblW w:w="91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1185"/>
        <w:gridCol w:w="1395"/>
        <w:gridCol w:w="1905"/>
        <w:gridCol w:w="1305"/>
        <w:gridCol w:w="2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企业名称</w:t>
            </w:r>
          </w:p>
        </w:tc>
        <w:tc>
          <w:tcPr>
            <w:tcW w:w="779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详细地址</w:t>
            </w:r>
          </w:p>
        </w:tc>
        <w:tc>
          <w:tcPr>
            <w:tcW w:w="448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邮   编</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法人代表</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企业性质</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注册资金</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联系 人</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职   务</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所在部门</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营业面积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在册员工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 xml:space="preserve">       名</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技术人员</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 xml:space="preserve">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联系电话</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传  真</w:t>
            </w:r>
          </w:p>
        </w:tc>
        <w:tc>
          <w:tcPr>
            <w:tcW w:w="33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手 机 号</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网 址</w:t>
            </w:r>
          </w:p>
        </w:tc>
        <w:tc>
          <w:tcPr>
            <w:tcW w:w="33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供应商品</w:t>
            </w:r>
          </w:p>
          <w:p>
            <w:pPr>
              <w:widowControl/>
              <w:spacing w:line="480" w:lineRule="exact"/>
              <w:jc w:val="center"/>
              <w:rPr>
                <w:rFonts w:ascii="宋体" w:hAnsi="宋体" w:cs="宋体"/>
                <w:color w:val="auto"/>
                <w:sz w:val="24"/>
              </w:rPr>
            </w:pPr>
            <w:r>
              <w:rPr>
                <w:rFonts w:hint="eastAsia" w:ascii="宋体" w:hAnsi="宋体" w:cs="宋体"/>
                <w:color w:val="auto"/>
                <w:sz w:val="24"/>
              </w:rPr>
              <w:t>范   围</w:t>
            </w:r>
          </w:p>
        </w:tc>
        <w:tc>
          <w:tcPr>
            <w:tcW w:w="779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4" w:hRule="atLeast"/>
          <w:jc w:val="center"/>
        </w:trPr>
        <w:tc>
          <w:tcPr>
            <w:tcW w:w="910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企业概况</w:t>
            </w:r>
          </w:p>
          <w:p>
            <w:pPr>
              <w:widowControl/>
              <w:spacing w:line="480" w:lineRule="exact"/>
              <w:jc w:val="center"/>
              <w:rPr>
                <w:rFonts w:ascii="宋体" w:hAnsi="宋体" w:cs="宋体"/>
                <w:color w:val="auto"/>
                <w:sz w:val="24"/>
              </w:rPr>
            </w:pPr>
          </w:p>
          <w:p>
            <w:pPr>
              <w:widowControl/>
              <w:spacing w:line="480" w:lineRule="exact"/>
              <w:jc w:val="center"/>
              <w:rPr>
                <w:rFonts w:ascii="宋体" w:hAnsi="宋体" w:cs="宋体"/>
                <w:color w:val="auto"/>
                <w:sz w:val="24"/>
              </w:rPr>
            </w:pPr>
          </w:p>
          <w:p>
            <w:pPr>
              <w:widowControl/>
              <w:spacing w:line="480" w:lineRule="exact"/>
              <w:rPr>
                <w:rFonts w:ascii="宋体" w:hAnsi="宋体" w:cs="宋体"/>
                <w:color w:val="auto"/>
                <w:sz w:val="24"/>
              </w:rPr>
            </w:pPr>
          </w:p>
          <w:p>
            <w:pPr>
              <w:widowControl/>
              <w:spacing w:line="480" w:lineRule="exact"/>
              <w:jc w:val="center"/>
              <w:rPr>
                <w:rFonts w:ascii="宋体" w:hAnsi="宋体" w:cs="宋体"/>
                <w:color w:val="auto"/>
                <w:sz w:val="24"/>
              </w:rPr>
            </w:pPr>
          </w:p>
          <w:p>
            <w:pPr>
              <w:widowControl/>
              <w:spacing w:line="480" w:lineRule="exact"/>
              <w:jc w:val="center"/>
              <w:rPr>
                <w:rFonts w:ascii="宋体" w:hAnsi="宋体" w:cs="宋体"/>
                <w:color w:val="auto"/>
                <w:sz w:val="24"/>
              </w:rPr>
            </w:pPr>
          </w:p>
          <w:p>
            <w:pPr>
              <w:widowControl/>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3" w:hRule="atLeast"/>
          <w:jc w:val="center"/>
        </w:trPr>
        <w:tc>
          <w:tcPr>
            <w:tcW w:w="910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宋体" w:hAnsi="宋体" w:cs="宋体"/>
                <w:color w:val="auto"/>
                <w:sz w:val="24"/>
              </w:rPr>
            </w:pPr>
            <w:r>
              <w:rPr>
                <w:rFonts w:hint="eastAsia" w:ascii="宋体" w:hAnsi="宋体" w:cs="宋体"/>
                <w:color w:val="auto"/>
                <w:sz w:val="24"/>
              </w:rPr>
              <w:t>主要业绩</w:t>
            </w:r>
          </w:p>
          <w:p>
            <w:pPr>
              <w:widowControl/>
              <w:spacing w:line="480" w:lineRule="exact"/>
              <w:jc w:val="center"/>
              <w:rPr>
                <w:rFonts w:ascii="宋体" w:hAnsi="宋体" w:cs="宋体"/>
                <w:color w:val="auto"/>
                <w:sz w:val="24"/>
              </w:rPr>
            </w:pPr>
          </w:p>
          <w:p>
            <w:pPr>
              <w:widowControl/>
              <w:spacing w:line="480" w:lineRule="exact"/>
              <w:jc w:val="center"/>
              <w:rPr>
                <w:rFonts w:ascii="宋体" w:hAnsi="宋体" w:cs="宋体"/>
                <w:color w:val="auto"/>
                <w:sz w:val="24"/>
              </w:rPr>
            </w:pPr>
          </w:p>
          <w:p>
            <w:pPr>
              <w:widowControl/>
              <w:spacing w:line="480" w:lineRule="exact"/>
              <w:jc w:val="center"/>
              <w:rPr>
                <w:rFonts w:ascii="宋体" w:hAnsi="宋体" w:cs="宋体"/>
                <w:color w:val="auto"/>
                <w:sz w:val="24"/>
              </w:rPr>
            </w:pPr>
          </w:p>
          <w:p>
            <w:pPr>
              <w:widowControl/>
              <w:spacing w:line="480" w:lineRule="exact"/>
              <w:jc w:val="center"/>
              <w:rPr>
                <w:rFonts w:ascii="宋体" w:hAnsi="宋体" w:cs="宋体"/>
                <w:color w:val="auto"/>
                <w:sz w:val="24"/>
              </w:rPr>
            </w:pPr>
          </w:p>
          <w:p>
            <w:pPr>
              <w:widowControl/>
              <w:spacing w:line="480" w:lineRule="exact"/>
              <w:jc w:val="center"/>
              <w:rPr>
                <w:rFonts w:ascii="宋体" w:hAnsi="宋体" w:cs="宋体"/>
                <w:color w:val="auto"/>
                <w:sz w:val="24"/>
              </w:rPr>
            </w:pPr>
          </w:p>
          <w:p>
            <w:pPr>
              <w:widowControl/>
              <w:spacing w:line="480" w:lineRule="exact"/>
              <w:jc w:val="center"/>
              <w:rPr>
                <w:rFonts w:ascii="宋体" w:hAnsi="宋体" w:cs="宋体"/>
                <w:color w:val="auto"/>
                <w:sz w:val="24"/>
              </w:rPr>
            </w:pPr>
          </w:p>
          <w:p>
            <w:pPr>
              <w:widowControl/>
              <w:spacing w:line="480" w:lineRule="exact"/>
              <w:rPr>
                <w:rFonts w:ascii="宋体" w:hAnsi="宋体" w:cs="宋体"/>
                <w:color w:val="auto"/>
                <w:sz w:val="24"/>
              </w:rPr>
            </w:pPr>
          </w:p>
        </w:tc>
      </w:tr>
    </w:tbl>
    <w:p>
      <w:pPr>
        <w:pStyle w:val="38"/>
        <w:ind w:firstLine="723"/>
        <w:rPr>
          <w:rFonts w:hAnsi="宋体"/>
          <w:b/>
          <w:color w:val="auto"/>
          <w:sz w:val="36"/>
          <w:szCs w:val="36"/>
        </w:rPr>
      </w:pPr>
    </w:p>
    <w:p>
      <w:pPr>
        <w:spacing w:line="360" w:lineRule="auto"/>
        <w:ind w:left="1446" w:hanging="1446"/>
        <w:jc w:val="center"/>
        <w:rPr>
          <w:rFonts w:ascii="宋体" w:hAnsi="宋体"/>
          <w:b/>
          <w:color w:val="auto"/>
          <w:sz w:val="36"/>
          <w:szCs w:val="36"/>
        </w:rPr>
      </w:pPr>
    </w:p>
    <w:p>
      <w:pPr>
        <w:spacing w:before="120" w:after="120" w:line="460" w:lineRule="exact"/>
        <w:jc w:val="center"/>
        <w:outlineLvl w:val="0"/>
        <w:rPr>
          <w:rFonts w:ascii="宋体" w:hAnsi="Courier New"/>
          <w:b/>
          <w:color w:val="auto"/>
          <w:sz w:val="32"/>
          <w:szCs w:val="32"/>
        </w:rPr>
      </w:pPr>
      <w:bookmarkStart w:id="36" w:name="_Toc120519622"/>
      <w:bookmarkStart w:id="37" w:name="_Toc130206657"/>
      <w:r>
        <w:rPr>
          <w:rFonts w:hint="eastAsia" w:ascii="宋体" w:hAnsi="Courier New"/>
          <w:b/>
          <w:color w:val="auto"/>
          <w:sz w:val="32"/>
          <w:szCs w:val="32"/>
        </w:rPr>
        <w:t>（五）法定代表人身份证明书</w:t>
      </w:r>
      <w:bookmarkEnd w:id="36"/>
      <w:bookmarkEnd w:id="37"/>
    </w:p>
    <w:p>
      <w:pPr>
        <w:rPr>
          <w:rFonts w:ascii="宋体" w:hAnsi="宋体"/>
          <w:color w:val="auto"/>
          <w:sz w:val="32"/>
        </w:rPr>
      </w:pPr>
    </w:p>
    <w:p>
      <w:pPr>
        <w:ind w:firstLine="425"/>
        <w:rPr>
          <w:rFonts w:ascii="宋体" w:hAnsi="宋体"/>
          <w:color w:val="auto"/>
          <w:sz w:val="24"/>
          <w:u w:val="single"/>
        </w:rPr>
      </w:pPr>
      <w:r>
        <w:rPr>
          <w:rFonts w:hint="eastAsia" w:ascii="宋体" w:hAnsi="宋体"/>
          <w:color w:val="auto"/>
          <w:sz w:val="24"/>
        </w:rPr>
        <w:t>单位名称：</w:t>
      </w:r>
      <w:r>
        <w:rPr>
          <w:rFonts w:hint="eastAsia" w:ascii="宋体" w:hAnsi="宋体"/>
          <w:color w:val="auto"/>
          <w:sz w:val="24"/>
          <w:u w:val="single"/>
        </w:rPr>
        <w:t xml:space="preserve">                            </w:t>
      </w:r>
    </w:p>
    <w:p>
      <w:pPr>
        <w:ind w:firstLine="425"/>
        <w:rPr>
          <w:rFonts w:ascii="宋体" w:hAnsi="宋体"/>
          <w:color w:val="auto"/>
          <w:sz w:val="24"/>
          <w:u w:val="single"/>
        </w:rPr>
      </w:pPr>
    </w:p>
    <w:p>
      <w:pPr>
        <w:ind w:firstLine="425"/>
        <w:rPr>
          <w:rFonts w:ascii="宋体" w:hAnsi="宋体"/>
          <w:color w:val="auto"/>
          <w:sz w:val="24"/>
          <w:u w:val="single"/>
        </w:rPr>
      </w:pPr>
    </w:p>
    <w:p>
      <w:pPr>
        <w:ind w:firstLine="425"/>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r>
        <w:rPr>
          <w:rFonts w:hint="eastAsia" w:ascii="宋体" w:hAnsi="宋体"/>
          <w:color w:val="auto"/>
          <w:sz w:val="24"/>
        </w:rPr>
        <w:t xml:space="preserve"> </w:t>
      </w:r>
    </w:p>
    <w:p>
      <w:pPr>
        <w:ind w:firstLine="425"/>
        <w:rPr>
          <w:rFonts w:ascii="宋体" w:hAnsi="宋体"/>
          <w:color w:val="auto"/>
          <w:sz w:val="24"/>
        </w:rPr>
      </w:pPr>
    </w:p>
    <w:p>
      <w:pPr>
        <w:ind w:firstLine="425"/>
        <w:rPr>
          <w:rFonts w:ascii="宋体" w:hAnsi="宋体"/>
          <w:color w:val="auto"/>
          <w:sz w:val="24"/>
          <w:u w:val="single"/>
        </w:rPr>
      </w:pPr>
      <w:r>
        <w:rPr>
          <w:rFonts w:hint="eastAsia" w:ascii="宋体" w:hAnsi="宋体"/>
          <w:color w:val="auto"/>
          <w:sz w:val="24"/>
        </w:rPr>
        <w:t xml:space="preserve">                          </w:t>
      </w:r>
    </w:p>
    <w:p>
      <w:pPr>
        <w:ind w:firstLine="425"/>
        <w:rPr>
          <w:rFonts w:ascii="宋体" w:hAnsi="宋体"/>
          <w:color w:val="auto"/>
          <w:sz w:val="24"/>
          <w:u w:val="single"/>
        </w:rPr>
      </w:pPr>
      <w:r>
        <w:rPr>
          <w:rFonts w:hint="eastAsia" w:ascii="宋体" w:hAnsi="宋体"/>
          <w:color w:val="auto"/>
          <w:sz w:val="24"/>
        </w:rPr>
        <w:t>地    址：</w:t>
      </w:r>
      <w:r>
        <w:rPr>
          <w:rFonts w:hint="eastAsia" w:ascii="宋体" w:hAnsi="宋体"/>
          <w:color w:val="auto"/>
          <w:sz w:val="24"/>
          <w:u w:val="single"/>
        </w:rPr>
        <w:t xml:space="preserve">                                </w:t>
      </w:r>
    </w:p>
    <w:p>
      <w:pPr>
        <w:ind w:firstLine="425"/>
        <w:rPr>
          <w:rFonts w:ascii="宋体" w:hAnsi="宋体"/>
          <w:color w:val="auto"/>
          <w:sz w:val="24"/>
          <w:u w:val="single"/>
        </w:rPr>
      </w:pPr>
    </w:p>
    <w:p>
      <w:pPr>
        <w:ind w:firstLine="425"/>
        <w:rPr>
          <w:rFonts w:ascii="宋体" w:hAnsi="宋体"/>
          <w:color w:val="auto"/>
          <w:sz w:val="24"/>
          <w:u w:val="single"/>
        </w:rPr>
      </w:pPr>
    </w:p>
    <w:p>
      <w:pPr>
        <w:ind w:firstLine="425"/>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 </w:t>
      </w:r>
    </w:p>
    <w:p>
      <w:pPr>
        <w:ind w:firstLine="425"/>
        <w:rPr>
          <w:rFonts w:ascii="宋体" w:hAnsi="宋体"/>
          <w:color w:val="auto"/>
          <w:sz w:val="24"/>
        </w:rPr>
      </w:pPr>
    </w:p>
    <w:p>
      <w:pPr>
        <w:ind w:firstLine="425"/>
        <w:rPr>
          <w:rFonts w:ascii="宋体" w:hAnsi="宋体"/>
          <w:color w:val="auto"/>
          <w:sz w:val="24"/>
        </w:rPr>
      </w:pPr>
    </w:p>
    <w:p>
      <w:pPr>
        <w:ind w:firstLine="425"/>
        <w:rPr>
          <w:rFonts w:ascii="宋体" w:hAnsi="宋体"/>
          <w:color w:val="auto"/>
          <w:sz w:val="24"/>
          <w:u w:val="single"/>
        </w:rPr>
      </w:pPr>
      <w:r>
        <w:rPr>
          <w:rFonts w:hint="eastAsia" w:ascii="宋体" w:hAnsi="宋体"/>
          <w:color w:val="auto"/>
          <w:sz w:val="24"/>
        </w:rPr>
        <w:t>经营期限：</w:t>
      </w:r>
      <w:r>
        <w:rPr>
          <w:rFonts w:hint="eastAsia" w:ascii="宋体" w:hAnsi="宋体"/>
          <w:color w:val="auto"/>
          <w:sz w:val="24"/>
          <w:u w:val="single"/>
        </w:rPr>
        <w:t xml:space="preserve">                            </w:t>
      </w:r>
    </w:p>
    <w:p>
      <w:pPr>
        <w:ind w:firstLine="425"/>
        <w:rPr>
          <w:rFonts w:ascii="宋体" w:hAnsi="宋体"/>
          <w:color w:val="auto"/>
          <w:sz w:val="24"/>
          <w:u w:val="single"/>
        </w:rPr>
      </w:pPr>
    </w:p>
    <w:p>
      <w:pPr>
        <w:ind w:firstLine="425"/>
        <w:rPr>
          <w:rFonts w:ascii="宋体" w:hAnsi="宋体"/>
          <w:color w:val="auto"/>
          <w:sz w:val="24"/>
          <w:u w:val="single"/>
        </w:rPr>
      </w:pPr>
    </w:p>
    <w:p>
      <w:pPr>
        <w:ind w:firstLine="480"/>
        <w:rPr>
          <w:rFonts w:ascii="宋体" w:hAnsi="宋体"/>
          <w:color w:val="auto"/>
          <w:sz w:val="24"/>
          <w:u w:val="single"/>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 xml:space="preserve"> 身份证号：</w:t>
      </w:r>
      <w:r>
        <w:rPr>
          <w:rFonts w:hint="eastAsia" w:ascii="宋体" w:hAnsi="宋体"/>
          <w:color w:val="auto"/>
          <w:sz w:val="24"/>
          <w:u w:val="single"/>
        </w:rPr>
        <w:t xml:space="preserve">                       </w:t>
      </w:r>
    </w:p>
    <w:p>
      <w:pPr>
        <w:ind w:firstLine="480"/>
        <w:rPr>
          <w:rFonts w:ascii="宋体" w:hAnsi="宋体"/>
          <w:color w:val="auto"/>
          <w:sz w:val="24"/>
          <w:u w:val="single"/>
        </w:rPr>
      </w:pPr>
    </w:p>
    <w:p>
      <w:pPr>
        <w:ind w:firstLine="480"/>
        <w:rPr>
          <w:rFonts w:ascii="宋体" w:hAnsi="宋体"/>
          <w:color w:val="auto"/>
          <w:sz w:val="24"/>
          <w:u w:val="single"/>
        </w:rPr>
      </w:pPr>
    </w:p>
    <w:p>
      <w:pPr>
        <w:ind w:firstLine="480"/>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(投标单位名称)</w:t>
      </w:r>
      <w:r>
        <w:rPr>
          <w:rFonts w:hint="eastAsia" w:ascii="宋体" w:hAnsi="宋体"/>
          <w:color w:val="auto"/>
          <w:sz w:val="24"/>
        </w:rPr>
        <w:t>的法定代表人。</w:t>
      </w:r>
    </w:p>
    <w:p>
      <w:pPr>
        <w:rPr>
          <w:rFonts w:ascii="宋体" w:hAnsi="宋体"/>
          <w:color w:val="auto"/>
          <w:sz w:val="24"/>
        </w:rPr>
      </w:pPr>
    </w:p>
    <w:p>
      <w:pPr>
        <w:ind w:firstLine="480"/>
        <w:rPr>
          <w:rFonts w:ascii="宋体" w:hAnsi="宋体"/>
          <w:color w:val="auto"/>
          <w:sz w:val="24"/>
        </w:rPr>
      </w:pPr>
    </w:p>
    <w:p>
      <w:pPr>
        <w:ind w:firstLine="480"/>
        <w:rPr>
          <w:rFonts w:ascii="宋体" w:hAnsi="宋体"/>
          <w:color w:val="auto"/>
          <w:sz w:val="24"/>
        </w:rPr>
      </w:pPr>
      <w:r>
        <w:rPr>
          <w:rFonts w:hint="eastAsia" w:ascii="宋体" w:hAnsi="宋体"/>
          <w:color w:val="auto"/>
          <w:sz w:val="24"/>
        </w:rPr>
        <w:t>特此证明。</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ind w:firstLine="4440"/>
        <w:rPr>
          <w:rFonts w:ascii="宋体" w:hAnsi="宋体"/>
          <w:color w:val="auto"/>
          <w:sz w:val="24"/>
          <w:u w:val="single"/>
        </w:rPr>
      </w:pPr>
      <w:r>
        <w:rPr>
          <w:rFonts w:hint="eastAsia" w:ascii="宋体" w:hAnsi="宋体"/>
          <w:color w:val="auto"/>
          <w:sz w:val="24"/>
        </w:rPr>
        <w:t>投标单位(公章) ：</w:t>
      </w:r>
      <w:r>
        <w:rPr>
          <w:rFonts w:hint="eastAsia" w:ascii="宋体" w:hAnsi="宋体"/>
          <w:color w:val="auto"/>
          <w:sz w:val="24"/>
          <w:u w:val="single"/>
        </w:rPr>
        <w:t xml:space="preserve">                </w:t>
      </w:r>
    </w:p>
    <w:p>
      <w:pPr>
        <w:rPr>
          <w:rFonts w:ascii="宋体" w:hAnsi="宋体"/>
          <w:color w:val="auto"/>
          <w:sz w:val="24"/>
          <w:u w:val="single"/>
        </w:rPr>
      </w:pPr>
    </w:p>
    <w:p>
      <w:pPr>
        <w:rPr>
          <w:rFonts w:ascii="宋体" w:hAnsi="宋体"/>
          <w:color w:val="auto"/>
          <w:sz w:val="24"/>
          <w:u w:val="single"/>
        </w:rPr>
      </w:pPr>
    </w:p>
    <w:p>
      <w:pPr>
        <w:rPr>
          <w:rFonts w:ascii="宋体" w:hAnsi="宋体"/>
          <w:color w:val="auto"/>
          <w:sz w:val="24"/>
          <w:u w:val="single"/>
        </w:rPr>
      </w:pPr>
    </w:p>
    <w:p>
      <w:pPr>
        <w:ind w:firstLine="4440"/>
        <w:rPr>
          <w:rFonts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21"/>
        <w:spacing w:line="300" w:lineRule="auto"/>
        <w:rPr>
          <w:rFonts w:hAnsi="宋体"/>
          <w:color w:val="auto"/>
        </w:rPr>
      </w:pPr>
    </w:p>
    <w:p>
      <w:pPr>
        <w:pStyle w:val="21"/>
        <w:spacing w:line="300" w:lineRule="auto"/>
        <w:rPr>
          <w:rFonts w:hAnsi="宋体"/>
          <w:color w:val="auto"/>
        </w:rPr>
      </w:pPr>
    </w:p>
    <w:p>
      <w:pPr>
        <w:pStyle w:val="21"/>
        <w:spacing w:line="300" w:lineRule="auto"/>
        <w:rPr>
          <w:rFonts w:hAnsi="宋体"/>
          <w:color w:val="auto"/>
        </w:rPr>
      </w:pPr>
    </w:p>
    <w:p>
      <w:pPr>
        <w:jc w:val="center"/>
        <w:rPr>
          <w:rFonts w:ascii="黑体" w:hAnsi="黑体" w:eastAsia="黑体" w:cs="黑体"/>
          <w:b/>
          <w:color w:val="auto"/>
          <w:sz w:val="36"/>
          <w:szCs w:val="36"/>
        </w:rPr>
      </w:pPr>
    </w:p>
    <w:p>
      <w:pPr>
        <w:pStyle w:val="47"/>
        <w:ind w:right="-351"/>
        <w:rPr>
          <w:color w:val="auto"/>
        </w:rPr>
      </w:pPr>
    </w:p>
    <w:p>
      <w:pPr>
        <w:pStyle w:val="47"/>
        <w:ind w:right="-351"/>
        <w:rPr>
          <w:color w:val="auto"/>
        </w:rPr>
      </w:pPr>
    </w:p>
    <w:p>
      <w:pPr>
        <w:pStyle w:val="47"/>
        <w:ind w:right="-351"/>
        <w:rPr>
          <w:color w:val="auto"/>
        </w:rPr>
      </w:pPr>
    </w:p>
    <w:p>
      <w:pPr>
        <w:spacing w:before="120" w:after="120" w:line="460" w:lineRule="exact"/>
        <w:jc w:val="center"/>
        <w:outlineLvl w:val="0"/>
        <w:rPr>
          <w:rFonts w:ascii="宋体" w:hAnsi="Courier New"/>
          <w:b/>
          <w:color w:val="auto"/>
          <w:sz w:val="32"/>
          <w:szCs w:val="32"/>
        </w:rPr>
      </w:pPr>
      <w:bookmarkStart w:id="38" w:name="_Toc130206658"/>
      <w:bookmarkStart w:id="39" w:name="_Toc120519623"/>
      <w:r>
        <w:rPr>
          <w:rFonts w:hint="eastAsia" w:ascii="宋体" w:hAnsi="Courier New"/>
          <w:b/>
          <w:color w:val="auto"/>
          <w:sz w:val="32"/>
          <w:szCs w:val="32"/>
        </w:rPr>
        <w:t>（六）法定代表人授权委托书</w:t>
      </w:r>
      <w:bookmarkEnd w:id="38"/>
      <w:bookmarkEnd w:id="39"/>
    </w:p>
    <w:p>
      <w:pPr>
        <w:rPr>
          <w:color w:val="auto"/>
        </w:rPr>
      </w:pPr>
    </w:p>
    <w:p>
      <w:pPr>
        <w:spacing w:line="500" w:lineRule="exact"/>
        <w:ind w:firstLine="480"/>
        <w:rPr>
          <w:rFonts w:ascii="宋体" w:hAnsi="宋体"/>
          <w:color w:val="auto"/>
          <w:sz w:val="24"/>
        </w:rPr>
      </w:pPr>
      <w:r>
        <w:rPr>
          <w:rFonts w:hint="eastAsia" w:ascii="宋体" w:hAnsi="宋体"/>
          <w:color w:val="auto"/>
          <w:sz w:val="24"/>
        </w:rPr>
        <w:t>本授权委托书声明：我</w:t>
      </w:r>
      <w:r>
        <w:rPr>
          <w:rFonts w:hint="eastAsia" w:ascii="宋体" w:hAnsi="宋体"/>
          <w:color w:val="auto"/>
          <w:sz w:val="24"/>
          <w:u w:val="single"/>
        </w:rPr>
        <w:t>　　　　　</w:t>
      </w:r>
      <w:r>
        <w:rPr>
          <w:rFonts w:hint="eastAsia" w:ascii="宋体" w:hAnsi="宋体"/>
          <w:color w:val="auto"/>
          <w:sz w:val="24"/>
        </w:rPr>
        <w:t>（姓名）系</w:t>
      </w:r>
      <w:r>
        <w:rPr>
          <w:rFonts w:hint="eastAsia" w:ascii="宋体" w:hAnsi="宋体"/>
          <w:color w:val="auto"/>
          <w:sz w:val="24"/>
          <w:u w:val="single"/>
        </w:rPr>
        <w:t>　　　　　　</w:t>
      </w:r>
      <w:r>
        <w:rPr>
          <w:rFonts w:hint="eastAsia" w:ascii="宋体" w:hAnsi="宋体"/>
          <w:color w:val="auto"/>
          <w:sz w:val="24"/>
        </w:rPr>
        <w:t>（投标人名称）的法定代表人，现授权委托</w:t>
      </w:r>
      <w:r>
        <w:rPr>
          <w:rFonts w:hint="eastAsia" w:ascii="宋体" w:hAnsi="宋体"/>
          <w:color w:val="auto"/>
          <w:sz w:val="24"/>
          <w:u w:val="single"/>
        </w:rPr>
        <w:t>　　　　　　　　　</w:t>
      </w:r>
      <w:r>
        <w:rPr>
          <w:rFonts w:hint="eastAsia" w:ascii="宋体" w:hAnsi="宋体"/>
          <w:color w:val="auto"/>
          <w:sz w:val="24"/>
        </w:rPr>
        <w:t>（单位名称）</w:t>
      </w:r>
      <w:r>
        <w:rPr>
          <w:rFonts w:hint="eastAsia" w:ascii="宋体" w:hAnsi="宋体"/>
          <w:color w:val="auto"/>
          <w:sz w:val="24"/>
          <w:u w:val="single"/>
        </w:rPr>
        <w:t>　　　　</w:t>
      </w:r>
      <w:r>
        <w:rPr>
          <w:rFonts w:hint="eastAsia" w:ascii="宋体" w:hAnsi="宋体"/>
          <w:color w:val="auto"/>
          <w:sz w:val="24"/>
        </w:rPr>
        <w:t>（姓名）为我的代理人，以本公司的名义参加</w:t>
      </w:r>
      <w:r>
        <w:rPr>
          <w:rFonts w:hint="eastAsia" w:ascii="宋体" w:hAnsi="宋体"/>
          <w:color w:val="auto"/>
          <w:sz w:val="24"/>
          <w:u w:val="single"/>
        </w:rPr>
        <w:t>　　　　　　　　　　　　　　　</w:t>
      </w:r>
      <w:r>
        <w:rPr>
          <w:rFonts w:hint="eastAsia" w:ascii="宋体" w:hAnsi="宋体"/>
          <w:color w:val="auto"/>
          <w:sz w:val="24"/>
        </w:rPr>
        <w:t>的投标活动。代理人在开标、询标、合同谈判等过程中所签署的一切文件和处理与之有关的一切事务，我均予以承认。</w:t>
      </w:r>
    </w:p>
    <w:p>
      <w:pPr>
        <w:spacing w:line="500" w:lineRule="exact"/>
        <w:rPr>
          <w:rFonts w:ascii="宋体" w:hAnsi="宋体"/>
          <w:color w:val="auto"/>
          <w:sz w:val="24"/>
        </w:rPr>
      </w:pPr>
    </w:p>
    <w:p>
      <w:pPr>
        <w:spacing w:line="500" w:lineRule="exact"/>
        <w:ind w:firstLine="480"/>
        <w:rPr>
          <w:rFonts w:ascii="宋体" w:hAnsi="宋体"/>
          <w:color w:val="auto"/>
          <w:sz w:val="24"/>
        </w:rPr>
      </w:pPr>
      <w:r>
        <w:rPr>
          <w:rFonts w:hint="eastAsia" w:ascii="宋体" w:hAnsi="宋体"/>
          <w:color w:val="auto"/>
          <w:sz w:val="24"/>
        </w:rPr>
        <w:t>代理人无转委权，特此委托。</w:t>
      </w:r>
    </w:p>
    <w:p>
      <w:pPr>
        <w:spacing w:line="500" w:lineRule="exact"/>
        <w:rPr>
          <w:rFonts w:ascii="宋体" w:hAnsi="宋体"/>
          <w:color w:val="auto"/>
          <w:sz w:val="24"/>
        </w:rPr>
      </w:pPr>
    </w:p>
    <w:p>
      <w:pPr>
        <w:spacing w:line="500" w:lineRule="exact"/>
        <w:ind w:firstLine="480"/>
        <w:rPr>
          <w:rFonts w:ascii="宋体" w:hAnsi="宋体"/>
          <w:color w:val="auto"/>
          <w:sz w:val="24"/>
        </w:rPr>
      </w:pPr>
      <w:r>
        <w:rPr>
          <w:rFonts w:hint="eastAsia" w:ascii="宋体" w:hAnsi="宋体"/>
          <w:color w:val="auto"/>
          <w:sz w:val="24"/>
        </w:rPr>
        <w:t>代理人联系电话（手机号）：</w:t>
      </w:r>
    </w:p>
    <w:p>
      <w:pPr>
        <w:ind w:firstLine="480"/>
        <w:rPr>
          <w:rFonts w:ascii="宋体" w:hAnsi="宋体"/>
          <w:color w:val="auto"/>
          <w:sz w:val="24"/>
        </w:rPr>
      </w:pPr>
    </w:p>
    <w:p>
      <w:pPr>
        <w:spacing w:line="500" w:lineRule="exact"/>
        <w:ind w:firstLine="480"/>
        <w:rPr>
          <w:rFonts w:ascii="宋体" w:hAnsi="宋体"/>
          <w:color w:val="auto"/>
          <w:sz w:val="24"/>
        </w:rPr>
      </w:pPr>
      <w:r>
        <w:rPr>
          <w:rFonts w:hint="eastAsia" w:ascii="宋体" w:hAnsi="宋体"/>
          <w:color w:val="auto"/>
          <w:sz w:val="24"/>
        </w:rPr>
        <w:t>投标人（公章）：</w:t>
      </w:r>
    </w:p>
    <w:p>
      <w:pPr>
        <w:spacing w:line="500" w:lineRule="exact"/>
        <w:ind w:firstLine="480"/>
        <w:rPr>
          <w:rFonts w:ascii="宋体" w:hAnsi="宋体"/>
          <w:color w:val="auto"/>
          <w:sz w:val="24"/>
        </w:rPr>
      </w:pPr>
    </w:p>
    <w:p>
      <w:pPr>
        <w:spacing w:line="500" w:lineRule="exact"/>
        <w:ind w:firstLine="480"/>
        <w:rPr>
          <w:rFonts w:ascii="宋体" w:hAnsi="宋体"/>
          <w:color w:val="auto"/>
          <w:sz w:val="24"/>
        </w:rPr>
      </w:pPr>
      <w:r>
        <w:rPr>
          <w:rFonts w:hint="eastAsia" w:ascii="宋体" w:hAnsi="宋体"/>
          <w:color w:val="auto"/>
          <w:sz w:val="24"/>
        </w:rPr>
        <w:t>法定代表人（签字或盖章）：</w:t>
      </w:r>
    </w:p>
    <w:p>
      <w:pPr>
        <w:spacing w:line="500" w:lineRule="exact"/>
        <w:ind w:firstLine="480"/>
        <w:rPr>
          <w:rFonts w:ascii="宋体" w:hAnsi="宋体"/>
          <w:color w:val="auto"/>
          <w:sz w:val="24"/>
        </w:rPr>
      </w:pPr>
      <w:r>
        <w:rPr>
          <w:rFonts w:hint="eastAsia" w:ascii="宋体" w:hAnsi="宋体"/>
          <w:color w:val="auto"/>
          <w:sz w:val="24"/>
        </w:rPr>
        <w:t xml:space="preserve">                         </w:t>
      </w:r>
    </w:p>
    <w:p>
      <w:pPr>
        <w:spacing w:line="500" w:lineRule="exact"/>
        <w:ind w:firstLine="480"/>
        <w:jc w:val="right"/>
        <w:rPr>
          <w:rFonts w:ascii="宋体" w:hAnsi="宋体"/>
          <w:color w:val="auto"/>
          <w:sz w:val="24"/>
        </w:rPr>
      </w:pPr>
      <w:r>
        <w:rPr>
          <w:rFonts w:hint="eastAsia" w:ascii="宋体" w:hAnsi="宋体"/>
          <w:color w:val="auto"/>
          <w:sz w:val="24"/>
        </w:rPr>
        <w:t>　　年　月　日</w:t>
      </w:r>
    </w:p>
    <w:p>
      <w:pPr>
        <w:rPr>
          <w:rFonts w:ascii="宋体" w:hAnsi="宋体"/>
          <w:color w:val="auto"/>
          <w:sz w:val="24"/>
        </w:rPr>
      </w:pPr>
    </w:p>
    <w:p>
      <w:pPr>
        <w:rPr>
          <w:rFonts w:ascii="宋体" w:hAnsi="宋体"/>
          <w:color w:val="auto"/>
          <w:sz w:val="24"/>
        </w:rPr>
      </w:pPr>
    </w:p>
    <w:p>
      <w:pPr>
        <w:rPr>
          <w:rFonts w:ascii="宋体" w:hAnsi="宋体"/>
          <w:color w:val="auto"/>
          <w:sz w:val="24"/>
        </w:rPr>
      </w:pPr>
      <w:r>
        <w:rPr>
          <w:rFonts w:hint="eastAsia" w:ascii="宋体" w:hAnsi="宋体"/>
          <w:color w:val="auto"/>
          <w:sz w:val="24"/>
        </w:rPr>
        <w:t>附：</w:t>
      </w:r>
    </w:p>
    <w:tbl>
      <w:tblPr>
        <w:tblStyle w:val="39"/>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0" w:hRule="atLeast"/>
        </w:trPr>
        <w:tc>
          <w:tcPr>
            <w:tcW w:w="9214" w:type="dxa"/>
            <w:noWrap w:val="0"/>
            <w:vAlign w:val="center"/>
          </w:tcPr>
          <w:p>
            <w:pPr>
              <w:jc w:val="center"/>
              <w:rPr>
                <w:rFonts w:ascii="宋体" w:hAnsi="宋体"/>
                <w:color w:val="auto"/>
                <w:sz w:val="24"/>
              </w:rPr>
            </w:pPr>
            <w:r>
              <w:rPr>
                <w:rFonts w:hint="eastAsia" w:ascii="宋体" w:hAnsi="宋体"/>
                <w:color w:val="auto"/>
                <w:sz w:val="24"/>
              </w:rPr>
              <w:t>（代理人身份证复印件粘贴处）</w:t>
            </w:r>
          </w:p>
        </w:tc>
      </w:tr>
    </w:tbl>
    <w:p>
      <w:pPr>
        <w:pStyle w:val="47"/>
        <w:ind w:right="-351"/>
        <w:rPr>
          <w:color w:val="auto"/>
        </w:rPr>
      </w:pPr>
    </w:p>
    <w:p>
      <w:pPr>
        <w:spacing w:before="120" w:after="120" w:line="460" w:lineRule="exact"/>
        <w:jc w:val="center"/>
        <w:outlineLvl w:val="0"/>
        <w:rPr>
          <w:rFonts w:ascii="宋体" w:hAnsi="Courier New"/>
          <w:b/>
          <w:color w:val="auto"/>
          <w:sz w:val="32"/>
          <w:szCs w:val="32"/>
        </w:rPr>
      </w:pPr>
      <w:bookmarkStart w:id="40" w:name="_Toc120519624"/>
      <w:bookmarkStart w:id="41" w:name="_Toc130206659"/>
      <w:r>
        <w:rPr>
          <w:rFonts w:hint="eastAsia" w:ascii="宋体" w:hAnsi="Courier New"/>
          <w:b/>
          <w:color w:val="auto"/>
          <w:sz w:val="32"/>
          <w:szCs w:val="32"/>
        </w:rPr>
        <w:t>（七）公共资源交易投标信用承诺书</w:t>
      </w:r>
      <w:bookmarkEnd w:id="40"/>
      <w:bookmarkEnd w:id="41"/>
    </w:p>
    <w:p>
      <w:pPr>
        <w:spacing w:line="520" w:lineRule="exact"/>
        <w:ind w:firstLine="480"/>
        <w:jc w:val="left"/>
        <w:rPr>
          <w:rFonts w:ascii="宋体" w:hAnsi="宋体"/>
          <w:color w:val="auto"/>
          <w:sz w:val="24"/>
        </w:rPr>
      </w:pPr>
      <w:r>
        <w:rPr>
          <w:rFonts w:hint="eastAsia" w:ascii="宋体" w:hAnsi="宋体"/>
          <w:color w:val="auto"/>
          <w:sz w:val="24"/>
        </w:rPr>
        <w:t>为营造公开、公平、公正的公共资源交易环境，树立诚信守法的投标人形象，本人代表本单位作出以下承诺：</w:t>
      </w:r>
    </w:p>
    <w:p>
      <w:pPr>
        <w:spacing w:line="520" w:lineRule="exact"/>
        <w:ind w:firstLine="480"/>
        <w:jc w:val="left"/>
        <w:rPr>
          <w:rFonts w:ascii="宋体" w:hAnsi="宋体"/>
          <w:color w:val="auto"/>
          <w:sz w:val="24"/>
        </w:rPr>
      </w:pPr>
      <w:r>
        <w:rPr>
          <w:rFonts w:hint="eastAsia" w:ascii="宋体" w:hAnsi="宋体"/>
          <w:color w:val="auto"/>
          <w:sz w:val="24"/>
        </w:rPr>
        <w:t>一、本单位对所提交的单位基本信息、单位负责人、项目负责人、技术负责人、从业资质和资格、业绩、财务状况、信誉等所有资料，均合法、真实、准确、有效，无任何伪造、修改、虚假成分；</w:t>
      </w:r>
    </w:p>
    <w:p>
      <w:pPr>
        <w:spacing w:line="520" w:lineRule="exact"/>
        <w:ind w:firstLine="480"/>
        <w:jc w:val="left"/>
        <w:rPr>
          <w:rFonts w:ascii="宋体" w:hAnsi="宋体"/>
          <w:color w:val="auto"/>
          <w:sz w:val="24"/>
        </w:rPr>
      </w:pPr>
      <w:r>
        <w:rPr>
          <w:rFonts w:hint="eastAsia" w:ascii="宋体" w:hAnsi="宋体"/>
          <w:color w:val="auto"/>
          <w:sz w:val="24"/>
        </w:rPr>
        <w:t>二、严格依照国家和省、市关于招标投标等方面的法律、法规、规章、规范性文件，参加公共资源交易招标投标活动；积极履行社会责任，促进廉政建设；</w:t>
      </w:r>
    </w:p>
    <w:p>
      <w:pPr>
        <w:spacing w:line="520" w:lineRule="exact"/>
        <w:ind w:firstLine="480"/>
        <w:jc w:val="left"/>
        <w:rPr>
          <w:rFonts w:ascii="宋体" w:hAnsi="宋体"/>
          <w:color w:val="auto"/>
          <w:sz w:val="24"/>
        </w:rPr>
      </w:pPr>
      <w:r>
        <w:rPr>
          <w:rFonts w:hint="eastAsia" w:ascii="宋体" w:hAnsi="宋体"/>
          <w:color w:val="auto"/>
          <w:sz w:val="24"/>
        </w:rPr>
        <w:t>三、严格遵守即时信息公示规定，及时更新公共资源交易中心主体信息库中信息；</w:t>
      </w:r>
    </w:p>
    <w:p>
      <w:pPr>
        <w:spacing w:line="520" w:lineRule="exact"/>
        <w:ind w:firstLine="480"/>
        <w:jc w:val="left"/>
        <w:rPr>
          <w:rFonts w:ascii="宋体" w:hAnsi="宋体"/>
          <w:color w:val="auto"/>
          <w:sz w:val="24"/>
        </w:rPr>
      </w:pPr>
      <w:r>
        <w:rPr>
          <w:rFonts w:hint="eastAsia" w:ascii="宋体" w:hAnsi="宋体"/>
          <w:color w:val="auto"/>
          <w:sz w:val="24"/>
        </w:rPr>
        <w:t>四、</w:t>
      </w:r>
      <w:r>
        <w:rPr>
          <w:rFonts w:hint="eastAsia" w:ascii="宋体" w:hAnsi="宋体"/>
          <w:color w:val="auto"/>
          <w:spacing w:val="-4"/>
          <w:sz w:val="24"/>
        </w:rPr>
        <w:t>自我约束、自我管理，守合同、重信用，不参与围标串标、弄虚作假、骗取中标、干扰评标、违约毁约、恶意投诉等行为，主动维护公共资源交易招标投标的良好秩序</w:t>
      </w:r>
      <w:r>
        <w:rPr>
          <w:rFonts w:hint="eastAsia" w:ascii="宋体" w:hAnsi="宋体"/>
          <w:color w:val="auto"/>
          <w:sz w:val="24"/>
        </w:rPr>
        <w:t>；</w:t>
      </w:r>
    </w:p>
    <w:p>
      <w:pPr>
        <w:spacing w:line="520" w:lineRule="exact"/>
        <w:ind w:firstLine="480"/>
        <w:jc w:val="left"/>
        <w:rPr>
          <w:rFonts w:ascii="宋体" w:hAnsi="宋体"/>
          <w:color w:val="auto"/>
          <w:sz w:val="24"/>
        </w:rPr>
      </w:pPr>
      <w:r>
        <w:rPr>
          <w:rFonts w:hint="eastAsia" w:ascii="宋体" w:hAnsi="宋体"/>
          <w:color w:val="auto"/>
          <w:sz w:val="24"/>
        </w:rPr>
        <w:t>五、自觉接受政府部门、行业组织、社会公众、新闻舆论等监督；</w:t>
      </w:r>
    </w:p>
    <w:p>
      <w:pPr>
        <w:spacing w:line="520" w:lineRule="exact"/>
        <w:ind w:firstLine="480"/>
        <w:jc w:val="left"/>
        <w:rPr>
          <w:rFonts w:ascii="宋体" w:hAnsi="宋体"/>
          <w:color w:val="auto"/>
          <w:sz w:val="24"/>
        </w:rPr>
      </w:pPr>
      <w:r>
        <w:rPr>
          <w:rFonts w:hint="eastAsia" w:ascii="宋体" w:hAnsi="宋体"/>
          <w:color w:val="auto"/>
          <w:sz w:val="24"/>
        </w:rPr>
        <w:t>六、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520" w:lineRule="exact"/>
        <w:ind w:firstLine="480"/>
        <w:jc w:val="left"/>
        <w:rPr>
          <w:rFonts w:ascii="宋体" w:hAnsi="宋体"/>
          <w:color w:val="auto"/>
          <w:sz w:val="24"/>
        </w:rPr>
      </w:pPr>
      <w:r>
        <w:rPr>
          <w:rFonts w:hint="eastAsia" w:ascii="宋体" w:hAnsi="宋体"/>
          <w:color w:val="auto"/>
          <w:sz w:val="24"/>
        </w:rPr>
        <w:t>七、上述承诺已向本单位员工作了宣传教育。</w:t>
      </w:r>
    </w:p>
    <w:p>
      <w:pPr>
        <w:spacing w:line="480" w:lineRule="exact"/>
        <w:jc w:val="left"/>
        <w:rPr>
          <w:rFonts w:ascii="宋体" w:hAnsi="宋体"/>
          <w:color w:val="auto"/>
          <w:sz w:val="24"/>
        </w:rPr>
      </w:pPr>
    </w:p>
    <w:p>
      <w:pPr>
        <w:spacing w:before="156" w:after="156" w:line="480" w:lineRule="exact"/>
        <w:jc w:val="left"/>
        <w:rPr>
          <w:rFonts w:ascii="宋体" w:hAnsi="宋体"/>
          <w:b/>
          <w:color w:val="auto"/>
          <w:sz w:val="24"/>
        </w:rPr>
      </w:pPr>
    </w:p>
    <w:p>
      <w:pPr>
        <w:spacing w:before="156" w:after="156" w:line="480" w:lineRule="exact"/>
        <w:ind w:firstLine="480"/>
        <w:rPr>
          <w:rFonts w:ascii="宋体" w:hAnsi="宋体"/>
          <w:bCs/>
          <w:color w:val="auto"/>
          <w:sz w:val="24"/>
        </w:rPr>
      </w:pPr>
      <w:r>
        <w:rPr>
          <w:rFonts w:hint="eastAsia" w:ascii="宋体" w:hAnsi="宋体"/>
          <w:bCs/>
          <w:color w:val="auto"/>
          <w:sz w:val="24"/>
        </w:rPr>
        <w:t>法定代表人签名：</w:t>
      </w:r>
    </w:p>
    <w:p>
      <w:pPr>
        <w:spacing w:before="156" w:after="156" w:line="480" w:lineRule="exact"/>
        <w:ind w:firstLine="480"/>
        <w:rPr>
          <w:rFonts w:ascii="宋体" w:hAnsi="宋体"/>
          <w:bCs/>
          <w:color w:val="auto"/>
          <w:sz w:val="24"/>
        </w:rPr>
      </w:pPr>
    </w:p>
    <w:p>
      <w:pPr>
        <w:spacing w:before="156" w:after="156" w:line="480" w:lineRule="exact"/>
        <w:ind w:firstLine="480"/>
        <w:rPr>
          <w:rFonts w:ascii="宋体" w:hAnsi="宋体"/>
          <w:bCs/>
          <w:color w:val="auto"/>
          <w:sz w:val="24"/>
        </w:rPr>
      </w:pPr>
      <w:r>
        <w:rPr>
          <w:rFonts w:hint="eastAsia" w:ascii="宋体" w:hAnsi="宋体"/>
          <w:bCs/>
          <w:color w:val="auto"/>
          <w:sz w:val="24"/>
        </w:rPr>
        <w:t>投标人（盖章）：</w:t>
      </w:r>
    </w:p>
    <w:p>
      <w:pPr>
        <w:spacing w:after="156" w:line="480" w:lineRule="exact"/>
        <w:jc w:val="left"/>
        <w:rPr>
          <w:rFonts w:ascii="宋体" w:hAnsi="宋体"/>
          <w:bCs/>
          <w:color w:val="auto"/>
          <w:sz w:val="24"/>
        </w:rPr>
      </w:pPr>
    </w:p>
    <w:p>
      <w:pPr>
        <w:spacing w:after="156" w:line="480" w:lineRule="exact"/>
        <w:jc w:val="right"/>
        <w:rPr>
          <w:rFonts w:ascii="宋体" w:hAnsi="宋体"/>
          <w:bCs/>
          <w:color w:val="auto"/>
          <w:sz w:val="24"/>
        </w:rPr>
      </w:pPr>
      <w:r>
        <w:rPr>
          <w:rFonts w:hint="eastAsia" w:ascii="宋体" w:hAnsi="宋体"/>
          <w:bCs/>
          <w:color w:val="auto"/>
          <w:sz w:val="24"/>
        </w:rPr>
        <w:t xml:space="preserve">年  </w:t>
      </w:r>
      <w:r>
        <w:rPr>
          <w:rFonts w:ascii="宋体" w:hAnsi="宋体"/>
          <w:bCs/>
          <w:color w:val="auto"/>
          <w:sz w:val="24"/>
        </w:rPr>
        <w:t xml:space="preserve">  </w:t>
      </w:r>
      <w:r>
        <w:rPr>
          <w:rFonts w:hint="eastAsia" w:ascii="宋体" w:hAnsi="宋体"/>
          <w:bCs/>
          <w:color w:val="auto"/>
          <w:sz w:val="24"/>
        </w:rPr>
        <w:t>月   日</w:t>
      </w:r>
    </w:p>
    <w:p>
      <w:pPr>
        <w:pStyle w:val="16"/>
        <w:rPr>
          <w:rFonts w:ascii="宋体" w:hAnsi="宋体"/>
          <w:b/>
          <w:color w:val="auto"/>
          <w:sz w:val="36"/>
          <w:szCs w:val="36"/>
          <w:lang w:eastAsia="zh-CN"/>
        </w:rPr>
      </w:pPr>
    </w:p>
    <w:p>
      <w:pPr>
        <w:pStyle w:val="49"/>
        <w:rPr>
          <w:color w:val="auto"/>
        </w:rPr>
      </w:pPr>
    </w:p>
    <w:p>
      <w:pPr>
        <w:spacing w:before="120" w:after="120" w:line="460" w:lineRule="exact"/>
        <w:ind w:firstLine="1928"/>
        <w:jc w:val="both"/>
        <w:outlineLvl w:val="0"/>
        <w:rPr>
          <w:rFonts w:ascii="宋体" w:hAnsi="Courier New"/>
          <w:b/>
          <w:color w:val="auto"/>
          <w:sz w:val="32"/>
          <w:szCs w:val="32"/>
        </w:rPr>
      </w:pPr>
      <w:bookmarkStart w:id="42" w:name="_Toc130206660"/>
      <w:bookmarkStart w:id="43" w:name="_Toc120519625"/>
      <w:r>
        <w:rPr>
          <w:rFonts w:hint="eastAsia" w:ascii="宋体" w:hAnsi="Courier New"/>
          <w:b/>
          <w:color w:val="auto"/>
          <w:sz w:val="32"/>
          <w:szCs w:val="32"/>
        </w:rPr>
        <w:t>（八）建湖县政府采购事前信用承诺书</w:t>
      </w:r>
      <w:bookmarkEnd w:id="42"/>
      <w:bookmarkEnd w:id="43"/>
    </w:p>
    <w:p>
      <w:pPr>
        <w:widowControl/>
        <w:spacing w:line="520" w:lineRule="exact"/>
        <w:ind w:firstLine="480"/>
        <w:jc w:val="left"/>
        <w:rPr>
          <w:rFonts w:ascii="宋体" w:hAnsi="宋体"/>
          <w:color w:val="auto"/>
          <w:sz w:val="24"/>
        </w:rPr>
      </w:pPr>
      <w:r>
        <w:rPr>
          <w:rFonts w:hint="eastAsia" w:ascii="宋体" w:hAnsi="宋体"/>
          <w:color w:val="auto"/>
          <w:sz w:val="24"/>
        </w:rPr>
        <w:t>为营造我县公开、公平、公正、诚实守信的政府采购交易环境，树立诚信守法的投标人形象，本人代表本单位作出以下承诺：</w:t>
      </w:r>
    </w:p>
    <w:p>
      <w:pPr>
        <w:widowControl/>
        <w:spacing w:line="520" w:lineRule="exact"/>
        <w:jc w:val="left"/>
        <w:rPr>
          <w:rFonts w:ascii="宋体" w:hAnsi="宋体"/>
          <w:color w:val="auto"/>
          <w:sz w:val="24"/>
        </w:rPr>
      </w:pPr>
      <w:r>
        <w:rPr>
          <w:rFonts w:hint="eastAsia" w:ascii="宋体" w:hAnsi="宋体"/>
          <w:color w:val="auto"/>
          <w:sz w:val="24"/>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20" w:lineRule="exact"/>
        <w:ind w:firstLine="480"/>
        <w:jc w:val="left"/>
        <w:rPr>
          <w:rFonts w:ascii="宋体" w:hAnsi="宋体"/>
          <w:color w:val="auto"/>
          <w:sz w:val="24"/>
        </w:rPr>
      </w:pPr>
      <w:r>
        <w:rPr>
          <w:rFonts w:hint="eastAsia" w:ascii="宋体" w:hAnsi="宋体"/>
          <w:color w:val="auto"/>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20" w:lineRule="exact"/>
        <w:jc w:val="left"/>
        <w:rPr>
          <w:rFonts w:ascii="宋体" w:hAnsi="宋体"/>
          <w:color w:val="auto"/>
          <w:sz w:val="24"/>
        </w:rPr>
      </w:pPr>
      <w:r>
        <w:rPr>
          <w:rFonts w:hint="eastAsia" w:ascii="宋体" w:hAnsi="宋体"/>
          <w:color w:val="auto"/>
          <w:sz w:val="24"/>
        </w:rPr>
        <w:t xml:space="preserve">   （三）严格依照国家和省、市关于政府采购的法律、法规、规章、规范性文件，参加政府采购投标活动；积极履行社会责任，促进廉政建设； </w:t>
      </w:r>
    </w:p>
    <w:p>
      <w:pPr>
        <w:widowControl/>
        <w:spacing w:line="520" w:lineRule="exact"/>
        <w:jc w:val="left"/>
        <w:rPr>
          <w:rFonts w:ascii="宋体" w:hAnsi="宋体"/>
          <w:color w:val="auto"/>
          <w:sz w:val="24"/>
        </w:rPr>
      </w:pPr>
      <w:r>
        <w:rPr>
          <w:rFonts w:hint="eastAsia" w:ascii="宋体" w:hAnsi="宋体"/>
          <w:color w:val="auto"/>
          <w:sz w:val="24"/>
        </w:rPr>
        <w:t>   （四）严格遵守即时信息公示规定，及时更新维护建湖县政府采购网中与本单位相关的信息；</w:t>
      </w:r>
    </w:p>
    <w:p>
      <w:pPr>
        <w:widowControl/>
        <w:spacing w:line="520" w:lineRule="exact"/>
        <w:jc w:val="left"/>
        <w:rPr>
          <w:rFonts w:ascii="宋体" w:hAnsi="宋体"/>
          <w:color w:val="auto"/>
          <w:sz w:val="24"/>
        </w:rPr>
      </w:pPr>
      <w:r>
        <w:rPr>
          <w:rFonts w:hint="eastAsia" w:ascii="宋体" w:hAnsi="宋体"/>
          <w:color w:val="auto"/>
          <w:sz w:val="24"/>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20" w:lineRule="exact"/>
        <w:jc w:val="left"/>
        <w:rPr>
          <w:rFonts w:ascii="宋体" w:hAnsi="宋体"/>
          <w:color w:val="auto"/>
          <w:sz w:val="24"/>
        </w:rPr>
      </w:pPr>
      <w:r>
        <w:rPr>
          <w:rFonts w:hint="eastAsia" w:ascii="宋体" w:hAnsi="宋体"/>
          <w:color w:val="auto"/>
          <w:sz w:val="24"/>
        </w:rPr>
        <w:t>   （六）自觉接受政府、行业组织、社会公众、新闻舆论的监督；</w:t>
      </w:r>
    </w:p>
    <w:p>
      <w:pPr>
        <w:widowControl/>
        <w:spacing w:line="520" w:lineRule="exact"/>
        <w:ind w:firstLine="480"/>
        <w:jc w:val="left"/>
        <w:rPr>
          <w:rFonts w:ascii="宋体" w:hAnsi="宋体"/>
          <w:color w:val="auto"/>
          <w:sz w:val="24"/>
        </w:rPr>
      </w:pPr>
      <w:r>
        <w:rPr>
          <w:rFonts w:hint="eastAsia" w:ascii="宋体" w:hAnsi="宋体"/>
          <w:color w:val="auto"/>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20" w:lineRule="exact"/>
        <w:jc w:val="left"/>
        <w:rPr>
          <w:rFonts w:ascii="宋体" w:hAnsi="宋体"/>
          <w:color w:val="auto"/>
          <w:sz w:val="24"/>
        </w:rPr>
      </w:pPr>
      <w:r>
        <w:rPr>
          <w:rFonts w:hint="eastAsia" w:ascii="宋体" w:hAnsi="宋体"/>
          <w:color w:val="auto"/>
          <w:sz w:val="24"/>
        </w:rPr>
        <w:t>   （八）本人已认真阅读了上述承诺，并向本单位员工作了宣传教育。</w:t>
      </w:r>
    </w:p>
    <w:p>
      <w:pPr>
        <w:widowControl/>
        <w:spacing w:line="500" w:lineRule="exact"/>
        <w:jc w:val="center"/>
        <w:rPr>
          <w:rFonts w:ascii="宋体" w:hAnsi="宋体"/>
          <w:color w:val="auto"/>
          <w:sz w:val="24"/>
        </w:rPr>
      </w:pPr>
    </w:p>
    <w:p>
      <w:pPr>
        <w:widowControl/>
        <w:spacing w:line="520" w:lineRule="exact"/>
        <w:ind w:firstLine="480"/>
        <w:jc w:val="left"/>
        <w:rPr>
          <w:rFonts w:ascii="宋体" w:hAnsi="宋体"/>
          <w:color w:val="auto"/>
          <w:sz w:val="24"/>
        </w:rPr>
      </w:pPr>
      <w:r>
        <w:rPr>
          <w:rFonts w:hint="eastAsia" w:ascii="宋体" w:hAnsi="宋体"/>
          <w:color w:val="auto"/>
          <w:sz w:val="24"/>
        </w:rPr>
        <w:t>法定代表人签名：</w:t>
      </w:r>
    </w:p>
    <w:p>
      <w:pPr>
        <w:widowControl/>
        <w:spacing w:line="520" w:lineRule="exact"/>
        <w:ind w:firstLine="480"/>
        <w:jc w:val="left"/>
        <w:rPr>
          <w:rFonts w:ascii="宋体" w:hAnsi="宋体"/>
          <w:color w:val="auto"/>
          <w:sz w:val="24"/>
        </w:rPr>
      </w:pPr>
    </w:p>
    <w:p>
      <w:pPr>
        <w:widowControl/>
        <w:spacing w:line="520" w:lineRule="exact"/>
        <w:ind w:firstLine="480"/>
        <w:jc w:val="left"/>
        <w:rPr>
          <w:rFonts w:ascii="宋体" w:hAnsi="宋体"/>
          <w:color w:val="auto"/>
          <w:sz w:val="24"/>
        </w:rPr>
      </w:pPr>
      <w:r>
        <w:rPr>
          <w:rFonts w:hint="eastAsia" w:ascii="宋体" w:hAnsi="宋体"/>
          <w:color w:val="auto"/>
          <w:sz w:val="24"/>
        </w:rPr>
        <w:t>单位名称（盖章）：</w:t>
      </w:r>
    </w:p>
    <w:p>
      <w:pPr>
        <w:widowControl/>
        <w:spacing w:line="500" w:lineRule="exact"/>
        <w:jc w:val="right"/>
        <w:rPr>
          <w:rFonts w:ascii="宋体" w:hAnsi="宋体"/>
          <w:color w:val="auto"/>
          <w:sz w:val="24"/>
        </w:rPr>
      </w:pPr>
      <w:r>
        <w:rPr>
          <w:rFonts w:ascii="宋体" w:hAnsi="宋体"/>
          <w:color w:val="auto"/>
          <w:sz w:val="24"/>
        </w:rPr>
        <w:t xml:space="preserve">     </w:t>
      </w:r>
    </w:p>
    <w:p>
      <w:pPr>
        <w:widowControl/>
        <w:spacing w:line="500" w:lineRule="exact"/>
        <w:jc w:val="right"/>
        <w:rPr>
          <w:rFonts w:ascii="宋体" w:hAnsi="宋体"/>
          <w:color w:val="auto"/>
          <w:sz w:val="24"/>
        </w:rPr>
      </w:pPr>
      <w:r>
        <w:rPr>
          <w:rFonts w:ascii="宋体" w:hAnsi="宋体"/>
          <w:color w:val="auto"/>
          <w:sz w:val="24"/>
        </w:rPr>
        <w:t xml:space="preserve"> </w:t>
      </w:r>
      <w:r>
        <w:rPr>
          <w:rFonts w:hint="eastAsia" w:ascii="宋体" w:hAnsi="宋体"/>
          <w:color w:val="auto"/>
          <w:sz w:val="24"/>
        </w:rPr>
        <w:t>年    月    日</w:t>
      </w:r>
    </w:p>
    <w:p>
      <w:pPr>
        <w:spacing w:before="120" w:after="120" w:line="460" w:lineRule="exact"/>
        <w:jc w:val="center"/>
        <w:outlineLvl w:val="0"/>
        <w:rPr>
          <w:rFonts w:ascii="宋体" w:hAnsi="Courier New"/>
          <w:b/>
          <w:color w:val="auto"/>
          <w:sz w:val="32"/>
          <w:szCs w:val="32"/>
        </w:rPr>
      </w:pPr>
      <w:bookmarkStart w:id="44" w:name="_Toc120519626"/>
      <w:bookmarkStart w:id="45" w:name="_Toc130206661"/>
      <w:r>
        <w:rPr>
          <w:rFonts w:hint="eastAsia" w:ascii="宋体" w:hAnsi="Courier New"/>
          <w:b/>
          <w:color w:val="auto"/>
          <w:sz w:val="32"/>
          <w:szCs w:val="32"/>
        </w:rPr>
        <w:t>（九）</w:t>
      </w:r>
      <w:bookmarkEnd w:id="44"/>
      <w:bookmarkStart w:id="46" w:name="_Toc120519627"/>
      <w:r>
        <w:rPr>
          <w:rFonts w:ascii="宋体" w:hAnsi="Courier New"/>
          <w:b/>
          <w:color w:val="auto"/>
          <w:sz w:val="32"/>
          <w:szCs w:val="32"/>
        </w:rPr>
        <w:t>中小企业声明函（</w:t>
      </w:r>
      <w:r>
        <w:rPr>
          <w:rFonts w:hint="eastAsia" w:ascii="宋体" w:hAnsi="Courier New"/>
          <w:b/>
          <w:color w:val="auto"/>
          <w:sz w:val="32"/>
          <w:szCs w:val="32"/>
        </w:rPr>
        <w:t>货物</w:t>
      </w:r>
      <w:r>
        <w:rPr>
          <w:rFonts w:ascii="宋体" w:hAnsi="Courier New"/>
          <w:b/>
          <w:color w:val="auto"/>
          <w:sz w:val="32"/>
          <w:szCs w:val="32"/>
        </w:rPr>
        <w:t>）（如有）</w:t>
      </w:r>
      <w:bookmarkEnd w:id="45"/>
    </w:p>
    <w:p>
      <w:pPr>
        <w:widowControl/>
        <w:spacing w:line="660" w:lineRule="exact"/>
        <w:ind w:firstLine="480"/>
        <w:jc w:val="left"/>
        <w:rPr>
          <w:rFonts w:ascii="宋体" w:hAnsi="宋体"/>
          <w:color w:val="auto"/>
          <w:sz w:val="24"/>
          <w:szCs w:val="24"/>
        </w:rPr>
      </w:pPr>
      <w:r>
        <w:rPr>
          <w:rFonts w:ascii="宋体" w:hAnsi="宋体"/>
          <w:color w:val="auto"/>
          <w:sz w:val="24"/>
          <w:szCs w:val="24"/>
        </w:rPr>
        <w:t>本公司（联合体）郑重声明，根据《政府采购促进中小企业发展管理办法》（财库﹝2020﹞46 号）的规定，本公司（联合体）参加</w:t>
      </w:r>
      <w:r>
        <w:rPr>
          <w:rFonts w:hint="eastAsia" w:ascii="宋体" w:hAnsi="宋体" w:cs="宋体"/>
          <w:b/>
          <w:bCs/>
          <w:color w:val="auto"/>
          <w:sz w:val="24"/>
          <w:szCs w:val="24"/>
          <w:u w:val="single"/>
        </w:rPr>
        <w:t>建湖县公安局</w:t>
      </w:r>
      <w:r>
        <w:rPr>
          <w:rFonts w:ascii="宋体" w:hAnsi="宋体"/>
          <w:color w:val="auto"/>
          <w:sz w:val="24"/>
          <w:szCs w:val="24"/>
        </w:rPr>
        <w:t>的</w:t>
      </w:r>
      <w:r>
        <w:rPr>
          <w:rFonts w:hint="eastAsia" w:ascii="宋体" w:hAnsi="宋体" w:cs="宋体"/>
          <w:b/>
          <w:bCs/>
          <w:color w:val="auto"/>
          <w:sz w:val="24"/>
          <w:szCs w:val="24"/>
          <w:u w:val="single"/>
          <w:lang w:eastAsia="zh-CN"/>
        </w:rPr>
        <w:t>建湖县公安局智能枪弹库建设采购项目</w:t>
      </w:r>
      <w:r>
        <w:rPr>
          <w:rFonts w:ascii="宋体" w:hAnsi="宋体"/>
          <w:color w:val="auto"/>
          <w:sz w:val="24"/>
          <w:szCs w:val="24"/>
        </w:rPr>
        <w:t>采购活动，服务全部由符合政策要求的中小企业承接。相关企业（含联合体中的中小企业、签订分包意向协议的中小企业）的具体情况如下：</w:t>
      </w:r>
    </w:p>
    <w:p>
      <w:pPr>
        <w:widowControl/>
        <w:spacing w:line="660" w:lineRule="exact"/>
        <w:ind w:firstLine="482"/>
        <w:jc w:val="left"/>
        <w:rPr>
          <w:rFonts w:ascii="宋体" w:hAnsi="宋体"/>
          <w:bCs/>
          <w:color w:val="auto"/>
          <w:sz w:val="24"/>
          <w:szCs w:val="24"/>
          <w:u w:val="single"/>
        </w:rPr>
      </w:pPr>
      <w:r>
        <w:rPr>
          <w:rFonts w:hint="eastAsia" w:ascii="宋体" w:hAnsi="宋体" w:cs="宋体"/>
          <w:b/>
          <w:bCs/>
          <w:color w:val="auto"/>
          <w:sz w:val="24"/>
          <w:szCs w:val="24"/>
          <w:u w:val="single"/>
          <w:lang w:eastAsia="zh-CN"/>
        </w:rPr>
        <w:t>建湖县公安局智能枪弹库建设采购项目</w:t>
      </w:r>
      <w:r>
        <w:rPr>
          <w:rFonts w:ascii="宋体" w:hAnsi="宋体"/>
          <w:color w:val="auto"/>
          <w:sz w:val="24"/>
          <w:szCs w:val="24"/>
        </w:rPr>
        <w:t>，属于</w:t>
      </w:r>
      <w:r>
        <w:rPr>
          <w:rFonts w:ascii="宋体" w:hAnsi="宋体"/>
          <w:color w:val="auto"/>
          <w:sz w:val="24"/>
          <w:szCs w:val="24"/>
          <w:u w:val="single"/>
        </w:rPr>
        <w:t xml:space="preserve">          （采购文件中明确的所属行业）</w:t>
      </w:r>
      <w:r>
        <w:rPr>
          <w:rFonts w:ascii="宋体" w:hAnsi="宋体"/>
          <w:color w:val="auto"/>
          <w:sz w:val="24"/>
          <w:szCs w:val="24"/>
        </w:rPr>
        <w:t>；承接企业为</w:t>
      </w:r>
      <w:r>
        <w:rPr>
          <w:rFonts w:ascii="宋体" w:hAnsi="宋体"/>
          <w:color w:val="auto"/>
          <w:sz w:val="24"/>
          <w:szCs w:val="24"/>
          <w:u w:val="single"/>
        </w:rPr>
        <w:t xml:space="preserve">       （企业名称）  </w:t>
      </w:r>
      <w:r>
        <w:rPr>
          <w:rFonts w:ascii="宋体" w:hAnsi="宋体"/>
          <w:color w:val="auto"/>
          <w:sz w:val="24"/>
          <w:szCs w:val="24"/>
        </w:rPr>
        <w:t>，从业人员</w:t>
      </w:r>
      <w:r>
        <w:rPr>
          <w:rFonts w:ascii="宋体" w:hAnsi="宋体"/>
          <w:color w:val="auto"/>
          <w:sz w:val="24"/>
          <w:szCs w:val="24"/>
          <w:u w:val="single"/>
        </w:rPr>
        <w:t xml:space="preserve">        </w:t>
      </w:r>
      <w:r>
        <w:rPr>
          <w:rFonts w:ascii="宋体" w:hAnsi="宋体"/>
          <w:color w:val="auto"/>
          <w:sz w:val="24"/>
          <w:szCs w:val="24"/>
        </w:rPr>
        <w:t>人，营业收入为</w:t>
      </w:r>
      <w:r>
        <w:rPr>
          <w:rFonts w:ascii="宋体" w:hAnsi="宋体"/>
          <w:color w:val="auto"/>
          <w:sz w:val="24"/>
          <w:szCs w:val="24"/>
          <w:u w:val="single"/>
        </w:rPr>
        <w:t xml:space="preserve">        </w:t>
      </w:r>
      <w:r>
        <w:rPr>
          <w:rFonts w:ascii="宋体" w:hAnsi="宋体"/>
          <w:color w:val="auto"/>
          <w:sz w:val="24"/>
          <w:szCs w:val="24"/>
        </w:rPr>
        <w:t>万元，资产总额为</w:t>
      </w:r>
      <w:r>
        <w:rPr>
          <w:rFonts w:ascii="宋体" w:hAnsi="宋体"/>
          <w:color w:val="auto"/>
          <w:sz w:val="24"/>
          <w:szCs w:val="24"/>
          <w:u w:val="single"/>
        </w:rPr>
        <w:t xml:space="preserve">        </w:t>
      </w:r>
      <w:r>
        <w:rPr>
          <w:rFonts w:ascii="宋体" w:hAnsi="宋体"/>
          <w:color w:val="auto"/>
          <w:sz w:val="24"/>
          <w:szCs w:val="24"/>
        </w:rPr>
        <w:t>万元</w:t>
      </w:r>
      <w:r>
        <w:rPr>
          <w:rFonts w:ascii="宋体" w:hAnsi="宋体"/>
          <w:color w:val="auto"/>
          <w:sz w:val="24"/>
          <w:szCs w:val="24"/>
          <w:vertAlign w:val="superscript"/>
        </w:rPr>
        <w:t>1</w:t>
      </w:r>
      <w:r>
        <w:rPr>
          <w:rFonts w:ascii="宋体" w:hAnsi="宋体"/>
          <w:color w:val="auto"/>
          <w:sz w:val="24"/>
          <w:szCs w:val="24"/>
        </w:rPr>
        <w:t>，属于</w:t>
      </w:r>
      <w:r>
        <w:rPr>
          <w:rFonts w:ascii="宋体" w:hAnsi="宋体"/>
          <w:color w:val="auto"/>
          <w:sz w:val="24"/>
          <w:szCs w:val="24"/>
          <w:u w:val="single"/>
        </w:rPr>
        <w:t xml:space="preserve">        （中型企业、小型企业、微型企业）</w:t>
      </w:r>
      <w:r>
        <w:rPr>
          <w:rFonts w:ascii="宋体" w:hAnsi="宋体"/>
          <w:color w:val="auto"/>
          <w:sz w:val="24"/>
          <w:szCs w:val="24"/>
        </w:rPr>
        <w:t>；</w:t>
      </w:r>
    </w:p>
    <w:p>
      <w:pPr>
        <w:widowControl/>
        <w:spacing w:line="660" w:lineRule="exact"/>
        <w:ind w:firstLine="480"/>
        <w:jc w:val="left"/>
        <w:rPr>
          <w:rFonts w:ascii="宋体" w:hAnsi="宋体"/>
          <w:color w:val="auto"/>
          <w:sz w:val="24"/>
          <w:szCs w:val="24"/>
        </w:rPr>
      </w:pPr>
      <w:r>
        <w:rPr>
          <w:rFonts w:ascii="宋体" w:hAnsi="宋体"/>
          <w:color w:val="auto"/>
          <w:sz w:val="24"/>
          <w:szCs w:val="24"/>
        </w:rPr>
        <w:t>以上企业，不属于大企业的分支机构，不存在控股股东为大企业的情形，也不存在与大企业的负责人为同一人的情形。</w:t>
      </w:r>
    </w:p>
    <w:p>
      <w:pPr>
        <w:widowControl/>
        <w:spacing w:line="660" w:lineRule="exact"/>
        <w:ind w:firstLine="480"/>
        <w:jc w:val="left"/>
        <w:rPr>
          <w:rFonts w:ascii="宋体" w:hAnsi="宋体"/>
          <w:color w:val="auto"/>
          <w:sz w:val="24"/>
          <w:szCs w:val="24"/>
        </w:rPr>
      </w:pPr>
      <w:r>
        <w:rPr>
          <w:rFonts w:ascii="宋体" w:hAnsi="宋体"/>
          <w:color w:val="auto"/>
          <w:sz w:val="24"/>
          <w:szCs w:val="24"/>
        </w:rPr>
        <w:t>本企业对上述声明内容的真实性负责。如有虚假，将依法承担相应责任。</w:t>
      </w:r>
    </w:p>
    <w:p>
      <w:pPr>
        <w:widowControl/>
        <w:spacing w:before="627" w:line="660" w:lineRule="exact"/>
        <w:ind w:firstLine="4080"/>
        <w:jc w:val="left"/>
        <w:rPr>
          <w:rFonts w:ascii="宋体" w:hAnsi="宋体"/>
          <w:color w:val="auto"/>
          <w:sz w:val="24"/>
          <w:szCs w:val="24"/>
        </w:rPr>
      </w:pPr>
      <w:r>
        <w:rPr>
          <w:rFonts w:ascii="宋体" w:hAnsi="宋体"/>
          <w:color w:val="auto"/>
          <w:sz w:val="24"/>
          <w:szCs w:val="24"/>
        </w:rPr>
        <w:t>企业名称（盖章）：</w:t>
      </w:r>
    </w:p>
    <w:p>
      <w:pPr>
        <w:widowControl/>
        <w:spacing w:before="156" w:line="660" w:lineRule="exact"/>
        <w:ind w:firstLine="4080"/>
        <w:jc w:val="left"/>
        <w:rPr>
          <w:rFonts w:ascii="宋体" w:hAnsi="宋体"/>
          <w:color w:val="auto"/>
          <w:sz w:val="24"/>
          <w:szCs w:val="24"/>
        </w:rPr>
      </w:pPr>
      <w:r>
        <w:rPr>
          <w:rFonts w:ascii="宋体" w:hAnsi="宋体"/>
          <w:color w:val="auto"/>
          <w:sz w:val="24"/>
          <w:szCs w:val="24"/>
        </w:rPr>
        <w:t>日 期：</w:t>
      </w:r>
    </w:p>
    <w:p>
      <w:pPr>
        <w:widowControl/>
        <w:spacing w:line="480" w:lineRule="exact"/>
        <w:ind w:firstLine="435"/>
        <w:jc w:val="left"/>
        <w:rPr>
          <w:rFonts w:ascii="宋体" w:hAnsi="宋体"/>
          <w:color w:val="auto"/>
          <w:sz w:val="24"/>
        </w:rPr>
      </w:pPr>
    </w:p>
    <w:p>
      <w:pPr>
        <w:widowControl/>
        <w:spacing w:line="660" w:lineRule="exact"/>
        <w:jc w:val="left"/>
        <w:rPr>
          <w:rFonts w:ascii="宋体" w:hAnsi="宋体"/>
          <w:color w:val="auto"/>
          <w:sz w:val="24"/>
          <w:szCs w:val="24"/>
        </w:rPr>
      </w:pPr>
      <w:r>
        <w:rPr>
          <w:rFonts w:ascii="宋体" w:hAnsi="宋体"/>
          <w:color w:val="auto"/>
          <w:sz w:val="24"/>
          <w:szCs w:val="24"/>
        </w:rPr>
        <w:t>注：1.供应商如不提供此声明函或不提供证明材料的，投标报价将不做相应扣除；</w:t>
      </w:r>
    </w:p>
    <w:p>
      <w:pPr>
        <w:widowControl/>
        <w:spacing w:line="660" w:lineRule="exact"/>
        <w:ind w:firstLine="480"/>
        <w:jc w:val="left"/>
        <w:rPr>
          <w:rFonts w:ascii="宋体" w:hAnsi="宋体"/>
          <w:color w:val="auto"/>
          <w:sz w:val="24"/>
          <w:szCs w:val="24"/>
        </w:rPr>
      </w:pPr>
      <w:r>
        <w:rPr>
          <w:rFonts w:ascii="宋体" w:hAnsi="宋体"/>
          <w:color w:val="auto"/>
          <w:sz w:val="24"/>
          <w:szCs w:val="24"/>
        </w:rPr>
        <w:t>2.从业人员、营业收入、资产总额填报上一年度数据，无上一年度数据的新成立企业可不填报。</w:t>
      </w:r>
    </w:p>
    <w:p>
      <w:pPr>
        <w:widowControl/>
        <w:spacing w:before="120" w:after="120" w:line="460" w:lineRule="exact"/>
        <w:outlineLvl w:val="0"/>
        <w:rPr>
          <w:rFonts w:ascii="宋体" w:hAnsi="Courier New"/>
          <w:b/>
          <w:color w:val="auto"/>
          <w:sz w:val="32"/>
          <w:szCs w:val="32"/>
        </w:rPr>
      </w:pPr>
    </w:p>
    <w:p>
      <w:pPr>
        <w:widowControl/>
        <w:spacing w:before="120" w:after="120" w:line="460" w:lineRule="exact"/>
        <w:outlineLvl w:val="0"/>
        <w:rPr>
          <w:rFonts w:ascii="宋体" w:hAnsi="Courier New"/>
          <w:b/>
          <w:color w:val="auto"/>
          <w:sz w:val="32"/>
          <w:szCs w:val="32"/>
        </w:rPr>
      </w:pPr>
    </w:p>
    <w:p>
      <w:pPr>
        <w:spacing w:before="120" w:after="120" w:line="460" w:lineRule="exact"/>
        <w:jc w:val="center"/>
        <w:outlineLvl w:val="0"/>
        <w:rPr>
          <w:rFonts w:ascii="宋体" w:hAnsi="Courier New"/>
          <w:b/>
          <w:color w:val="auto"/>
          <w:sz w:val="32"/>
          <w:szCs w:val="32"/>
        </w:rPr>
      </w:pPr>
      <w:bookmarkStart w:id="47" w:name="_Toc130206662"/>
      <w:r>
        <w:rPr>
          <w:rFonts w:hint="eastAsia" w:ascii="宋体" w:hAnsi="Courier New"/>
          <w:b/>
          <w:color w:val="auto"/>
          <w:sz w:val="32"/>
          <w:szCs w:val="32"/>
        </w:rPr>
        <w:t>（十）残疾人福利性单位声明函（如有）</w:t>
      </w:r>
      <w:bookmarkEnd w:id="46"/>
      <w:bookmarkEnd w:id="47"/>
    </w:p>
    <w:p>
      <w:pPr>
        <w:spacing w:line="588" w:lineRule="exact"/>
        <w:ind w:firstLine="480"/>
        <w:rPr>
          <w:rFonts w:ascii="宋体" w:hAnsi="宋体"/>
          <w:color w:val="auto"/>
          <w:sz w:val="24"/>
        </w:rPr>
      </w:pPr>
      <w:r>
        <w:rPr>
          <w:rFonts w:hint="eastAsia" w:ascii="宋体" w:hAnsi="宋体"/>
          <w:color w:val="auto"/>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color w:val="auto"/>
          <w:sz w:val="24"/>
          <w:u w:val="single"/>
        </w:rPr>
        <w:t xml:space="preserve">       </w:t>
      </w:r>
      <w:r>
        <w:rPr>
          <w:rFonts w:hint="eastAsia" w:ascii="宋体" w:hAnsi="宋体"/>
          <w:color w:val="auto"/>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宋体" w:hAnsi="宋体"/>
          <w:color w:val="auto"/>
          <w:sz w:val="24"/>
        </w:rPr>
      </w:pPr>
      <w:r>
        <w:rPr>
          <w:rFonts w:hint="eastAsia" w:ascii="宋体" w:hAnsi="宋体"/>
          <w:color w:val="auto"/>
          <w:sz w:val="24"/>
        </w:rPr>
        <w:t>本单位在本次政府采购活动中提供的残疾人福利单位产品报价合计为人民币（大写）</w:t>
      </w:r>
      <w:r>
        <w:rPr>
          <w:rFonts w:hint="eastAsia" w:ascii="宋体" w:hAnsi="宋体"/>
          <w:color w:val="auto"/>
          <w:sz w:val="24"/>
          <w:u w:val="single"/>
        </w:rPr>
        <w:t xml:space="preserve">      </w:t>
      </w:r>
      <w:r>
        <w:rPr>
          <w:rFonts w:hint="eastAsia" w:ascii="宋体" w:hAnsi="宋体"/>
          <w:color w:val="auto"/>
          <w:sz w:val="24"/>
        </w:rPr>
        <w:t>圆整（¥：     ）。</w:t>
      </w:r>
    </w:p>
    <w:p>
      <w:pPr>
        <w:spacing w:line="588" w:lineRule="exact"/>
        <w:ind w:firstLine="480"/>
        <w:rPr>
          <w:rFonts w:ascii="宋体" w:hAnsi="宋体"/>
          <w:color w:val="auto"/>
          <w:sz w:val="24"/>
        </w:rPr>
      </w:pPr>
      <w:r>
        <w:rPr>
          <w:rFonts w:hint="eastAsia" w:ascii="宋体" w:hAnsi="宋体"/>
          <w:color w:val="auto"/>
          <w:sz w:val="24"/>
        </w:rPr>
        <w:t>本单位对上述声明的真实性负责。如有虚假，将依法承担相应责任。</w:t>
      </w:r>
    </w:p>
    <w:p>
      <w:pPr>
        <w:spacing w:line="588" w:lineRule="exact"/>
        <w:ind w:firstLine="480"/>
        <w:rPr>
          <w:rFonts w:ascii="宋体" w:hAnsi="宋体"/>
          <w:color w:val="auto"/>
          <w:sz w:val="24"/>
        </w:rPr>
      </w:pPr>
    </w:p>
    <w:p>
      <w:pPr>
        <w:spacing w:line="588" w:lineRule="exact"/>
        <w:ind w:firstLine="480"/>
        <w:rPr>
          <w:rFonts w:ascii="宋体" w:hAnsi="宋体"/>
          <w:color w:val="auto"/>
          <w:sz w:val="24"/>
        </w:rPr>
      </w:pPr>
      <w:r>
        <w:rPr>
          <w:rFonts w:hint="eastAsia" w:ascii="宋体" w:hAnsi="宋体"/>
          <w:color w:val="auto"/>
          <w:sz w:val="24"/>
        </w:rPr>
        <w:t>（备注：1、供应商如不提供此声明函，价格将不做相应扣除。2、中标供应商为残疾人福利单位的，此声明函将随中标结果同时公告，接受社会监督）</w:t>
      </w:r>
    </w:p>
    <w:p>
      <w:pPr>
        <w:spacing w:line="588" w:lineRule="exact"/>
        <w:ind w:firstLine="624"/>
        <w:rPr>
          <w:rFonts w:ascii="仿宋_GB2312" w:eastAsia="仿宋_GB2312"/>
          <w:color w:val="auto"/>
          <w:spacing w:val="6"/>
          <w:sz w:val="30"/>
          <w:szCs w:val="30"/>
        </w:rPr>
      </w:pPr>
    </w:p>
    <w:p>
      <w:pPr>
        <w:spacing w:line="560" w:lineRule="exact"/>
        <w:ind w:firstLine="645"/>
        <w:rPr>
          <w:rFonts w:ascii="宋体" w:hAnsi="宋体"/>
          <w:color w:val="auto"/>
          <w:sz w:val="24"/>
        </w:rPr>
      </w:pPr>
      <w:r>
        <w:rPr>
          <w:rFonts w:hint="eastAsia" w:ascii="仿宋_GB2312" w:eastAsia="仿宋_GB2312"/>
          <w:color w:val="auto"/>
          <w:spacing w:val="6"/>
          <w:sz w:val="30"/>
          <w:szCs w:val="30"/>
        </w:rPr>
        <w:t xml:space="preserve">             </w:t>
      </w:r>
      <w:r>
        <w:rPr>
          <w:rFonts w:hint="eastAsia" w:ascii="宋体" w:hAnsi="宋体"/>
          <w:color w:val="auto"/>
          <w:sz w:val="24"/>
        </w:rPr>
        <w:t xml:space="preserve">                    </w:t>
      </w:r>
    </w:p>
    <w:p>
      <w:pPr>
        <w:pStyle w:val="248"/>
        <w:spacing w:before="0" w:after="0" w:line="420" w:lineRule="exact"/>
        <w:ind w:left="420" w:firstLine="482"/>
        <w:jc w:val="center"/>
        <w:rPr>
          <w:rFonts w:ascii="宋体" w:hAnsi="宋体"/>
          <w:b/>
          <w:color w:val="auto"/>
          <w:szCs w:val="21"/>
        </w:rPr>
      </w:pPr>
      <w:r>
        <w:rPr>
          <w:rFonts w:hint="eastAsia" w:ascii="宋体" w:hAnsi="宋体"/>
          <w:b/>
          <w:color w:val="auto"/>
          <w:szCs w:val="21"/>
        </w:rPr>
        <w:t xml:space="preserve">                                   </w:t>
      </w:r>
      <w:r>
        <w:rPr>
          <w:rFonts w:hint="eastAsia" w:ascii="宋体" w:hAnsi="宋体"/>
          <w:bCs/>
          <w:color w:val="auto"/>
          <w:szCs w:val="21"/>
        </w:rPr>
        <w:t>授权代表亲笔签名：</w:t>
      </w:r>
      <w:r>
        <w:rPr>
          <w:rFonts w:hint="eastAsia" w:ascii="宋体" w:hAnsi="宋体"/>
          <w:b/>
          <w:color w:val="auto"/>
          <w:szCs w:val="21"/>
        </w:rPr>
        <w:t xml:space="preserve"> </w:t>
      </w:r>
    </w:p>
    <w:p>
      <w:pPr>
        <w:jc w:val="center"/>
        <w:rPr>
          <w:rFonts w:ascii="宋体" w:hAnsi="宋体"/>
          <w:color w:val="auto"/>
        </w:rPr>
      </w:pPr>
    </w:p>
    <w:p>
      <w:pPr>
        <w:pStyle w:val="248"/>
        <w:spacing w:before="0" w:after="0" w:line="420" w:lineRule="exact"/>
        <w:ind w:left="420"/>
        <w:jc w:val="right"/>
        <w:rPr>
          <w:rFonts w:ascii="宋体" w:hAnsi="宋体"/>
          <w:bCs/>
          <w:color w:val="auto"/>
          <w:szCs w:val="21"/>
        </w:rPr>
      </w:pPr>
      <w:r>
        <w:rPr>
          <w:rFonts w:hint="eastAsia" w:ascii="宋体" w:hAnsi="宋体"/>
          <w:bCs/>
          <w:color w:val="auto"/>
          <w:szCs w:val="21"/>
        </w:rPr>
        <w:t>日 期：_</w:t>
      </w:r>
      <w:r>
        <w:rPr>
          <w:rFonts w:hint="eastAsia" w:ascii="宋体" w:hAnsi="宋体"/>
          <w:bCs/>
          <w:color w:val="auto"/>
          <w:szCs w:val="21"/>
          <w:u w:val="single"/>
        </w:rPr>
        <w:t>__</w:t>
      </w:r>
      <w:r>
        <w:rPr>
          <w:rFonts w:ascii="宋体" w:hAnsi="宋体"/>
          <w:bCs/>
          <w:color w:val="auto"/>
          <w:szCs w:val="21"/>
          <w:u w:val="single"/>
        </w:rPr>
        <w:t xml:space="preserve"> </w:t>
      </w:r>
      <w:r>
        <w:rPr>
          <w:rFonts w:hint="eastAsia" w:ascii="宋体" w:hAnsi="宋体"/>
          <w:bCs/>
          <w:color w:val="auto"/>
          <w:szCs w:val="21"/>
          <w:u w:val="single"/>
        </w:rPr>
        <w:t>_</w:t>
      </w:r>
      <w:r>
        <w:rPr>
          <w:rFonts w:hint="eastAsia" w:ascii="宋体" w:hAnsi="宋体"/>
          <w:bCs/>
          <w:color w:val="auto"/>
          <w:szCs w:val="21"/>
        </w:rPr>
        <w:t>年____月____日</w:t>
      </w:r>
    </w:p>
    <w:p>
      <w:pPr>
        <w:jc w:val="center"/>
        <w:rPr>
          <w:rFonts w:ascii="黑体" w:hAnsi="黑体" w:eastAsia="黑体" w:cs="黑体"/>
          <w:b/>
          <w:color w:val="auto"/>
          <w:sz w:val="36"/>
          <w:szCs w:val="36"/>
        </w:rPr>
      </w:pPr>
    </w:p>
    <w:p>
      <w:pPr>
        <w:jc w:val="center"/>
        <w:rPr>
          <w:rFonts w:ascii="黑体" w:hAnsi="黑体" w:eastAsia="黑体" w:cs="黑体"/>
          <w:b/>
          <w:color w:val="auto"/>
          <w:sz w:val="36"/>
          <w:szCs w:val="36"/>
        </w:rPr>
      </w:pPr>
    </w:p>
    <w:p>
      <w:pPr>
        <w:jc w:val="center"/>
        <w:rPr>
          <w:rFonts w:ascii="黑体" w:hAnsi="黑体" w:eastAsia="黑体" w:cs="黑体"/>
          <w:b/>
          <w:color w:val="auto"/>
          <w:sz w:val="36"/>
          <w:szCs w:val="36"/>
        </w:rPr>
      </w:pPr>
    </w:p>
    <w:p>
      <w:pPr>
        <w:jc w:val="center"/>
        <w:rPr>
          <w:rFonts w:ascii="黑体" w:hAnsi="黑体" w:eastAsia="黑体" w:cs="黑体"/>
          <w:b/>
          <w:color w:val="auto"/>
          <w:sz w:val="36"/>
          <w:szCs w:val="36"/>
        </w:rPr>
      </w:pPr>
    </w:p>
    <w:p>
      <w:pPr>
        <w:jc w:val="center"/>
        <w:rPr>
          <w:rFonts w:ascii="黑体" w:hAnsi="黑体" w:eastAsia="黑体" w:cs="黑体"/>
          <w:b/>
          <w:color w:val="auto"/>
          <w:sz w:val="36"/>
          <w:szCs w:val="36"/>
        </w:rPr>
      </w:pPr>
    </w:p>
    <w:p>
      <w:pPr>
        <w:pStyle w:val="47"/>
        <w:ind w:right="-351"/>
        <w:rPr>
          <w:color w:val="auto"/>
        </w:rPr>
      </w:pPr>
    </w:p>
    <w:p>
      <w:pPr>
        <w:jc w:val="center"/>
        <w:rPr>
          <w:rFonts w:ascii="黑体" w:hAnsi="黑体" w:eastAsia="黑体" w:cs="黑体"/>
          <w:b/>
          <w:color w:val="auto"/>
          <w:sz w:val="36"/>
          <w:szCs w:val="36"/>
        </w:rPr>
      </w:pPr>
    </w:p>
    <w:p>
      <w:pPr>
        <w:spacing w:before="120" w:after="120" w:line="460" w:lineRule="exact"/>
        <w:jc w:val="center"/>
        <w:outlineLvl w:val="0"/>
        <w:rPr>
          <w:rFonts w:ascii="宋体" w:hAnsi="Courier New"/>
          <w:b/>
          <w:color w:val="auto"/>
          <w:sz w:val="32"/>
          <w:szCs w:val="32"/>
        </w:rPr>
      </w:pPr>
    </w:p>
    <w:p>
      <w:pPr>
        <w:spacing w:before="120" w:after="120" w:line="460" w:lineRule="exact"/>
        <w:jc w:val="center"/>
        <w:outlineLvl w:val="0"/>
        <w:rPr>
          <w:rFonts w:ascii="宋体" w:hAnsi="Courier New"/>
          <w:b/>
          <w:color w:val="auto"/>
          <w:sz w:val="32"/>
          <w:szCs w:val="32"/>
        </w:rPr>
      </w:pPr>
    </w:p>
    <w:p>
      <w:pPr>
        <w:spacing w:before="120" w:after="120" w:line="460" w:lineRule="exact"/>
        <w:jc w:val="center"/>
        <w:outlineLvl w:val="0"/>
        <w:rPr>
          <w:rFonts w:ascii="宋体" w:hAnsi="Courier New"/>
          <w:b/>
          <w:color w:val="auto"/>
          <w:sz w:val="32"/>
          <w:szCs w:val="32"/>
        </w:rPr>
      </w:pPr>
      <w:bookmarkStart w:id="48" w:name="_Toc120519628"/>
      <w:bookmarkStart w:id="49" w:name="_Toc130206663"/>
      <w:r>
        <w:rPr>
          <w:rFonts w:hint="eastAsia" w:ascii="宋体" w:hAnsi="Courier New"/>
          <w:b/>
          <w:color w:val="auto"/>
          <w:sz w:val="32"/>
          <w:szCs w:val="32"/>
        </w:rPr>
        <w:t>（十一）清单报价表</w:t>
      </w:r>
      <w:bookmarkEnd w:id="48"/>
      <w:bookmarkEnd w:id="49"/>
    </w:p>
    <w:p>
      <w:pPr>
        <w:widowControl/>
        <w:spacing w:line="480" w:lineRule="exact"/>
        <w:jc w:val="left"/>
        <w:rPr>
          <w:rFonts w:ascii="宋体" w:hAnsi="宋体"/>
          <w:color w:val="auto"/>
          <w:sz w:val="24"/>
        </w:rPr>
      </w:pPr>
      <w:r>
        <w:rPr>
          <w:rFonts w:hint="eastAsia" w:ascii="宋体" w:hAnsi="宋体"/>
          <w:color w:val="auto"/>
          <w:sz w:val="24"/>
        </w:rPr>
        <w:t>采购人：</w:t>
      </w:r>
      <w:r>
        <w:rPr>
          <w:rFonts w:hint="eastAsia" w:ascii="宋体" w:hAnsi="宋体"/>
          <w:color w:val="auto"/>
          <w:sz w:val="24"/>
          <w:u w:val="single"/>
        </w:rPr>
        <w:t>建湖县公安局</w:t>
      </w:r>
    </w:p>
    <w:p>
      <w:pPr>
        <w:widowControl/>
        <w:spacing w:line="480" w:lineRule="exact"/>
        <w:ind w:firstLine="480"/>
        <w:jc w:val="left"/>
        <w:rPr>
          <w:rFonts w:ascii="宋体" w:hAnsi="宋体"/>
          <w:color w:val="auto"/>
          <w:sz w:val="24"/>
        </w:rPr>
      </w:pPr>
      <w:r>
        <w:rPr>
          <w:rFonts w:hint="eastAsia" w:ascii="宋体" w:hAnsi="宋体"/>
          <w:color w:val="auto"/>
          <w:sz w:val="24"/>
        </w:rPr>
        <w:t>我单位愿意按照招标文件的要求和下面的报价提供所需货物和服务，并保证货物和服务质量。                                                    单位：人民币元</w:t>
      </w:r>
    </w:p>
    <w:tbl>
      <w:tblPr>
        <w:tblStyle w:val="39"/>
        <w:tblW w:w="5161" w:type="pct"/>
        <w:tblInd w:w="0" w:type="dxa"/>
        <w:tblLayout w:type="fixed"/>
        <w:tblCellMar>
          <w:top w:w="0" w:type="dxa"/>
          <w:left w:w="108" w:type="dxa"/>
          <w:bottom w:w="0" w:type="dxa"/>
          <w:right w:w="108" w:type="dxa"/>
        </w:tblCellMar>
      </w:tblPr>
      <w:tblGrid>
        <w:gridCol w:w="426"/>
        <w:gridCol w:w="2282"/>
        <w:gridCol w:w="2610"/>
        <w:gridCol w:w="734"/>
        <w:gridCol w:w="768"/>
        <w:gridCol w:w="974"/>
        <w:gridCol w:w="867"/>
        <w:gridCol w:w="1071"/>
      </w:tblGrid>
      <w:tr>
        <w:tblPrEx>
          <w:tblCellMar>
            <w:top w:w="0" w:type="dxa"/>
            <w:left w:w="108" w:type="dxa"/>
            <w:bottom w:w="0" w:type="dxa"/>
            <w:right w:w="108" w:type="dxa"/>
          </w:tblCellMar>
        </w:tblPrEx>
        <w:trPr>
          <w:trHeight w:val="570" w:hRule="atLeast"/>
        </w:trPr>
        <w:tc>
          <w:tcPr>
            <w:tcW w:w="218"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序号</w:t>
            </w:r>
          </w:p>
        </w:tc>
        <w:tc>
          <w:tcPr>
            <w:tcW w:w="1172"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产品类别</w:t>
            </w:r>
          </w:p>
        </w:tc>
        <w:tc>
          <w:tcPr>
            <w:tcW w:w="1340"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bidi="ar"/>
              </w:rPr>
              <w:t>规格</w:t>
            </w:r>
            <w:r>
              <w:rPr>
                <w:rFonts w:hint="eastAsia" w:ascii="宋体" w:hAnsi="宋体" w:eastAsia="宋体" w:cs="宋体"/>
                <w:b/>
                <w:bCs/>
                <w:color w:val="auto"/>
                <w:sz w:val="21"/>
                <w:szCs w:val="21"/>
                <w:lang w:bidi="ar"/>
              </w:rPr>
              <w:t>参数</w:t>
            </w:r>
          </w:p>
        </w:tc>
        <w:tc>
          <w:tcPr>
            <w:tcW w:w="377" w:type="pc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单位</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数量</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lang w:eastAsia="zh-CN" w:bidi="ar"/>
              </w:rPr>
            </w:pPr>
            <w:r>
              <w:rPr>
                <w:rFonts w:hint="eastAsia" w:ascii="宋体" w:hAnsi="宋体" w:eastAsia="宋体" w:cs="宋体"/>
                <w:b/>
                <w:bCs/>
                <w:color w:val="auto"/>
                <w:sz w:val="21"/>
                <w:szCs w:val="21"/>
                <w:lang w:eastAsia="zh-CN" w:bidi="ar"/>
              </w:rPr>
              <w:t>单价</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lang w:eastAsia="zh-CN" w:bidi="ar"/>
              </w:rPr>
            </w:pPr>
            <w:r>
              <w:rPr>
                <w:rFonts w:hint="eastAsia" w:ascii="宋体" w:hAnsi="宋体" w:eastAsia="宋体" w:cs="宋体"/>
                <w:b/>
                <w:bCs/>
                <w:color w:val="auto"/>
                <w:sz w:val="21"/>
                <w:szCs w:val="21"/>
                <w:lang w:eastAsia="zh-CN" w:bidi="ar"/>
              </w:rPr>
              <w:t>总价</w:t>
            </w: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color w:val="auto"/>
                <w:sz w:val="21"/>
                <w:szCs w:val="21"/>
                <w:lang w:eastAsia="zh-CN" w:bidi="ar"/>
              </w:rPr>
            </w:pPr>
            <w:r>
              <w:rPr>
                <w:rFonts w:hint="eastAsia" w:ascii="宋体" w:hAnsi="宋体" w:eastAsia="宋体" w:cs="宋体"/>
                <w:b/>
                <w:bCs/>
                <w:color w:val="auto"/>
                <w:sz w:val="21"/>
                <w:szCs w:val="21"/>
                <w:lang w:eastAsia="zh-CN" w:bidi="ar"/>
              </w:rPr>
              <w:t>品牌及规格型号</w:t>
            </w:r>
          </w:p>
        </w:tc>
      </w:tr>
      <w:tr>
        <w:tblPrEx>
          <w:tblCellMar>
            <w:top w:w="0" w:type="dxa"/>
            <w:left w:w="108" w:type="dxa"/>
            <w:bottom w:w="0" w:type="dxa"/>
            <w:right w:w="108" w:type="dxa"/>
          </w:tblCellMar>
        </w:tblPrEx>
        <w:trPr>
          <w:trHeight w:val="591"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bidi="ar"/>
              </w:rPr>
              <w:t>★54位智能短枪柜</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9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bidi="ar"/>
              </w:rPr>
              <w:t>18位智能长枪柜</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9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bidi="ar"/>
              </w:rPr>
              <w:t>9位智能长枪柜</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r>
      <w:tr>
        <w:tblPrEx>
          <w:tblCellMar>
            <w:top w:w="0" w:type="dxa"/>
            <w:left w:w="108" w:type="dxa"/>
            <w:bottom w:w="0" w:type="dxa"/>
            <w:right w:w="108" w:type="dxa"/>
          </w:tblCellMar>
        </w:tblPrEx>
        <w:trPr>
          <w:trHeight w:val="41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bidi="ar"/>
              </w:rPr>
              <w:t>12位智能计数弹柜</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r>
      <w:tr>
        <w:tblPrEx>
          <w:tblCellMar>
            <w:top w:w="0" w:type="dxa"/>
            <w:left w:w="108" w:type="dxa"/>
            <w:bottom w:w="0" w:type="dxa"/>
            <w:right w:w="108" w:type="dxa"/>
          </w:tblCellMar>
        </w:tblPrEx>
        <w:trPr>
          <w:trHeight w:val="476"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bidi="ar"/>
              </w:rPr>
              <w:t>智能整箱弹柜</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宋体" w:hAnsi="宋体" w:eastAsia="宋体" w:cs="宋体"/>
                <w:color w:val="auto"/>
                <w:kern w:val="2"/>
                <w:sz w:val="21"/>
                <w:szCs w:val="21"/>
                <w:lang w:val="zh-CN" w:eastAsia="zh-CN" w:bidi="ar-SA"/>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551"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智能枪弹柜</w:t>
            </w:r>
            <w:r>
              <w:rPr>
                <w:rFonts w:hint="eastAsia" w:ascii="宋体" w:hAnsi="宋体" w:eastAsia="宋体" w:cs="宋体"/>
                <w:b/>
                <w:bCs/>
                <w:color w:val="auto"/>
                <w:sz w:val="21"/>
                <w:szCs w:val="21"/>
                <w:lang w:eastAsia="zh-CN" w:bidi="ar"/>
              </w:rPr>
              <w:t>综合</w:t>
            </w:r>
            <w:r>
              <w:rPr>
                <w:rFonts w:hint="eastAsia" w:ascii="宋体" w:hAnsi="宋体" w:eastAsia="宋体" w:cs="宋体"/>
                <w:b/>
                <w:bCs/>
                <w:color w:val="auto"/>
                <w:sz w:val="21"/>
                <w:szCs w:val="21"/>
                <w:lang w:bidi="ar"/>
              </w:rPr>
              <w:t>管理系统</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b w:val="0"/>
                <w:bCs/>
                <w:kern w:val="2"/>
                <w:sz w:val="21"/>
                <w:szCs w:val="21"/>
                <w:lang w:val="zh-CN" w:eastAsia="zh-CN" w:bidi="ar-SA"/>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套</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r>
      <w:tr>
        <w:tblPrEx>
          <w:tblCellMar>
            <w:top w:w="0" w:type="dxa"/>
            <w:left w:w="108" w:type="dxa"/>
            <w:bottom w:w="0" w:type="dxa"/>
            <w:right w:w="108" w:type="dxa"/>
          </w:tblCellMar>
        </w:tblPrEx>
        <w:trPr>
          <w:trHeight w:val="375" w:hRule="atLeast"/>
        </w:trPr>
        <w:tc>
          <w:tcPr>
            <w:tcW w:w="218" w:type="pct"/>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bidi="ar"/>
              </w:rPr>
              <w:t>收缴枪柜</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r>
      <w:tr>
        <w:tblPrEx>
          <w:tblCellMar>
            <w:top w:w="0" w:type="dxa"/>
            <w:left w:w="108" w:type="dxa"/>
            <w:bottom w:w="0" w:type="dxa"/>
            <w:right w:w="108" w:type="dxa"/>
          </w:tblCellMar>
        </w:tblPrEx>
        <w:trPr>
          <w:trHeight w:val="440" w:hRule="atLeast"/>
        </w:trPr>
        <w:tc>
          <w:tcPr>
            <w:tcW w:w="218" w:type="pct"/>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管控服务器</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r>
      <w:tr>
        <w:tblPrEx>
          <w:tblCellMar>
            <w:top w:w="0" w:type="dxa"/>
            <w:left w:w="108" w:type="dxa"/>
            <w:bottom w:w="0" w:type="dxa"/>
            <w:right w:w="108" w:type="dxa"/>
          </w:tblCellMar>
        </w:tblPrEx>
        <w:trPr>
          <w:trHeight w:val="416" w:hRule="atLeast"/>
        </w:trPr>
        <w:tc>
          <w:tcPr>
            <w:tcW w:w="218" w:type="pct"/>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8</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网络摄像机</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1</w:t>
            </w:r>
            <w:r>
              <w:rPr>
                <w:rFonts w:hint="eastAsia" w:ascii="宋体" w:hAnsi="宋体" w:eastAsia="宋体" w:cs="宋体"/>
                <w:color w:val="auto"/>
                <w:sz w:val="21"/>
                <w:szCs w:val="21"/>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522" w:hRule="atLeast"/>
        </w:trPr>
        <w:tc>
          <w:tcPr>
            <w:tcW w:w="218"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网络硬盘录像机</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r>
      <w:tr>
        <w:tblPrEx>
          <w:tblCellMar>
            <w:top w:w="0" w:type="dxa"/>
            <w:left w:w="108" w:type="dxa"/>
            <w:bottom w:w="0" w:type="dxa"/>
            <w:right w:w="108" w:type="dxa"/>
          </w:tblCellMar>
        </w:tblPrEx>
        <w:trPr>
          <w:trHeight w:val="561"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lang w:val="en-US" w:eastAsia="zh-CN"/>
              </w:rPr>
              <w:t>4T</w:t>
            </w:r>
            <w:r>
              <w:rPr>
                <w:rFonts w:hint="eastAsia" w:ascii="宋体" w:hAnsi="宋体" w:eastAsia="宋体" w:cs="宋体"/>
                <w:b/>
                <w:sz w:val="21"/>
                <w:szCs w:val="21"/>
              </w:rPr>
              <w:t>监控专用硬盘</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90" w:hRule="atLeast"/>
        </w:trPr>
        <w:tc>
          <w:tcPr>
            <w:tcW w:w="218"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lang w:val="en-US" w:eastAsia="zh-CN"/>
              </w:rPr>
              <w:t>27寸</w:t>
            </w:r>
            <w:r>
              <w:rPr>
                <w:rFonts w:hint="eastAsia" w:ascii="宋体" w:hAnsi="宋体" w:eastAsia="宋体" w:cs="宋体"/>
                <w:b/>
                <w:sz w:val="21"/>
                <w:szCs w:val="21"/>
              </w:rPr>
              <w:t>液晶显示器</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rPr>
              <w:t>交换机</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405" w:hRule="atLeast"/>
        </w:trPr>
        <w:tc>
          <w:tcPr>
            <w:tcW w:w="218"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rPr>
              <w:t>机柜</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
              </w:rPr>
              <w:t xml:space="preserve">个 </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r>
      <w:tr>
        <w:tblPrEx>
          <w:tblCellMar>
            <w:top w:w="0" w:type="dxa"/>
            <w:left w:w="108" w:type="dxa"/>
            <w:bottom w:w="0" w:type="dxa"/>
            <w:right w:w="108" w:type="dxa"/>
          </w:tblCellMar>
        </w:tblPrEx>
        <w:trPr>
          <w:trHeight w:val="391" w:hRule="atLeast"/>
        </w:trPr>
        <w:tc>
          <w:tcPr>
            <w:tcW w:w="218"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rPr>
              <w:t>PDU</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rPr>
              <w:t>网线</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箱</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r>
              <w:rPr>
                <w:rFonts w:hint="eastAsia" w:ascii="宋体" w:hAnsi="宋体" w:eastAsia="宋体" w:cs="宋体"/>
                <w:b/>
                <w:sz w:val="21"/>
                <w:szCs w:val="21"/>
              </w:rPr>
              <w:t>电源线</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卷</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信号线</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卷</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VGA线</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zh-CN"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根</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报警主机</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lang w:val="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主机键盘</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墙体振动探测器</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继电器输出模块</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红外双鉴探测器</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手报</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声光警号</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幕帘</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四键无线遥控器</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12v30A电源</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lang w:eastAsia="zh-CN"/>
              </w:rPr>
              <w:t>山</w:t>
            </w:r>
            <w:r>
              <w:rPr>
                <w:rFonts w:hint="eastAsia" w:ascii="宋体" w:hAnsi="宋体" w:eastAsia="宋体" w:cs="宋体"/>
                <w:b/>
                <w:sz w:val="21"/>
                <w:szCs w:val="21"/>
              </w:rPr>
              <w:t>特2K机头</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lang w:eastAsia="zh-CN"/>
              </w:rPr>
              <w:t>后备电池</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lang w:val="en-US" w:eastAsia="zh-CN"/>
              </w:rPr>
              <w:t>块</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lang w:eastAsia="zh-CN"/>
              </w:rPr>
            </w:pPr>
            <w:r>
              <w:rPr>
                <w:rFonts w:hint="eastAsia" w:ascii="宋体" w:hAnsi="宋体" w:eastAsia="宋体" w:cs="宋体"/>
                <w:b/>
                <w:sz w:val="21"/>
                <w:szCs w:val="21"/>
              </w:rPr>
              <w:t>电池柜</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rPr>
              <w:t>台</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lang w:eastAsia="zh-CN"/>
              </w:rPr>
            </w:pPr>
            <w:r>
              <w:rPr>
                <w:rFonts w:hint="eastAsia" w:ascii="宋体" w:hAnsi="宋体" w:eastAsia="宋体" w:cs="宋体"/>
                <w:b/>
                <w:sz w:val="21"/>
                <w:szCs w:val="21"/>
              </w:rPr>
              <w:t>辅材</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bidi="ar"/>
              </w:rPr>
            </w:pPr>
            <w:r>
              <w:rPr>
                <w:rFonts w:hint="eastAsia" w:ascii="宋体" w:hAnsi="宋体" w:eastAsia="宋体" w:cs="宋体"/>
                <w:sz w:val="21"/>
                <w:szCs w:val="21"/>
              </w:rPr>
              <w:t>项</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人工</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项</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1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lang w:val="en-US" w:eastAsia="zh-CN"/>
              </w:rPr>
              <w:t>拆装防盗门及修复门洞</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项</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lang w:val="en-US" w:eastAsia="zh-CN"/>
              </w:rPr>
              <w:t>砌墙</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平方</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34</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管内套线</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米</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32.5</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电源插座</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lang w:val="en-US" w:eastAsia="zh-CN"/>
              </w:rPr>
              <w:t>网络插座</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lang w:eastAsia="zh-CN"/>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定制甲级防盗门</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b w:val="0"/>
                <w:bCs/>
                <w:sz w:val="21"/>
                <w:szCs w:val="21"/>
              </w:rPr>
              <w:t>扇</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3</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油漆</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项</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防爆灯</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12</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270" w:hRule="atLeast"/>
        </w:trPr>
        <w:tc>
          <w:tcPr>
            <w:tcW w:w="218" w:type="pct"/>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bCs w:val="0"/>
                <w:sz w:val="21"/>
                <w:szCs w:val="21"/>
                <w:lang w:val="en-US" w:eastAsia="zh-CN"/>
              </w:rPr>
              <w:t>通风口</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lang w:val="en-US" w:eastAsia="zh-CN"/>
              </w:rPr>
            </w:pPr>
          </w:p>
        </w:tc>
      </w:tr>
      <w:tr>
        <w:tblPrEx>
          <w:tblCellMar>
            <w:top w:w="0" w:type="dxa"/>
            <w:left w:w="108" w:type="dxa"/>
            <w:bottom w:w="0" w:type="dxa"/>
            <w:right w:w="108" w:type="dxa"/>
          </w:tblCellMar>
        </w:tblPrEx>
        <w:trPr>
          <w:trHeight w:val="270" w:hRule="atLeast"/>
        </w:trPr>
        <w:tc>
          <w:tcPr>
            <w:tcW w:w="218" w:type="pct"/>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rPr>
            </w:pPr>
          </w:p>
        </w:tc>
        <w:tc>
          <w:tcPr>
            <w:tcW w:w="11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sz w:val="21"/>
                <w:szCs w:val="21"/>
              </w:rPr>
            </w:pPr>
            <w:r>
              <w:rPr>
                <w:rFonts w:hint="eastAsia" w:ascii="宋体" w:hAnsi="宋体" w:eastAsia="宋体" w:cs="宋体"/>
                <w:b/>
                <w:bCs w:val="0"/>
                <w:sz w:val="21"/>
                <w:szCs w:val="21"/>
              </w:rPr>
              <w:t>辅材</w:t>
            </w:r>
          </w:p>
        </w:tc>
        <w:tc>
          <w:tcPr>
            <w:tcW w:w="13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lang w:val="en-US" w:eastAsia="zh-CN"/>
              </w:rPr>
            </w:pPr>
            <w:r>
              <w:rPr>
                <w:rFonts w:hint="eastAsia" w:ascii="宋体" w:hAnsi="宋体" w:eastAsia="宋体" w:cs="宋体"/>
                <w:kern w:val="2"/>
                <w:sz w:val="21"/>
                <w:szCs w:val="21"/>
                <w:lang w:val="zh-CN" w:eastAsia="zh-CN" w:bidi="ar-SA"/>
              </w:rPr>
              <w:t>详见招标文件第三章</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sz w:val="21"/>
                <w:szCs w:val="21"/>
              </w:rPr>
            </w:pPr>
            <w:r>
              <w:rPr>
                <w:rFonts w:hint="eastAsia" w:ascii="宋体" w:hAnsi="宋体" w:eastAsia="宋体" w:cs="宋体"/>
                <w:sz w:val="21"/>
                <w:szCs w:val="21"/>
              </w:rPr>
              <w:t>项</w:t>
            </w:r>
          </w:p>
        </w:tc>
        <w:tc>
          <w:tcPr>
            <w:tcW w:w="3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c>
          <w:tcPr>
            <w:tcW w:w="55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color w:val="auto"/>
                <w:sz w:val="21"/>
                <w:szCs w:val="21"/>
                <w:lang w:val="en-US" w:eastAsia="zh-CN" w:bidi="ar"/>
              </w:rPr>
            </w:pPr>
          </w:p>
        </w:tc>
      </w:tr>
      <w:tr>
        <w:tblPrEx>
          <w:tblCellMar>
            <w:top w:w="0" w:type="dxa"/>
            <w:left w:w="108" w:type="dxa"/>
            <w:bottom w:w="0" w:type="dxa"/>
            <w:right w:w="108" w:type="dxa"/>
          </w:tblCellMar>
        </w:tblPrEx>
        <w:trPr>
          <w:trHeight w:val="1055" w:hRule="atLeast"/>
        </w:trPr>
        <w:tc>
          <w:tcPr>
            <w:tcW w:w="2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宋体" w:hAnsi="宋体" w:eastAsia="宋体" w:cs="宋体"/>
                <w:color w:val="auto"/>
                <w:sz w:val="21"/>
                <w:szCs w:val="21"/>
                <w:lang w:val="en-US" w:eastAsia="zh-CN"/>
              </w:rPr>
            </w:pPr>
            <w:bookmarkStart w:id="50" w:name="_Toc120519629"/>
            <w:r>
              <w:rPr>
                <w:rFonts w:hint="eastAsia" w:ascii="宋体" w:hAnsi="宋体" w:eastAsia="宋体" w:cs="宋体"/>
                <w:color w:val="auto"/>
                <w:sz w:val="21"/>
                <w:szCs w:val="21"/>
                <w:lang w:val="en-US" w:eastAsia="zh-CN"/>
              </w:rPr>
              <w:t>10</w:t>
            </w:r>
          </w:p>
        </w:tc>
        <w:tc>
          <w:tcPr>
            <w:tcW w:w="1172"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合计：</w:t>
            </w:r>
          </w:p>
        </w:tc>
        <w:tc>
          <w:tcPr>
            <w:tcW w:w="3608"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183" w:afterLines="50" w:afterAutospacing="0" w:line="320" w:lineRule="exact"/>
              <w:jc w:val="left"/>
              <w:rPr>
                <w:rFonts w:hint="default" w:ascii="宋体" w:hAnsi="宋体" w:eastAsia="宋体" w:cs="宋体"/>
                <w:color w:val="auto"/>
                <w:sz w:val="21"/>
                <w:szCs w:val="21"/>
                <w:u w:val="single"/>
                <w:lang w:val="en-US" w:eastAsia="zh-CN" w:bidi="ar"/>
              </w:rPr>
            </w:pPr>
            <w:r>
              <w:rPr>
                <w:rFonts w:hint="eastAsia" w:ascii="宋体" w:hAnsi="宋体" w:eastAsia="宋体" w:cs="宋体"/>
                <w:color w:val="auto"/>
                <w:sz w:val="21"/>
                <w:szCs w:val="21"/>
                <w:lang w:val="en-US" w:eastAsia="zh-CN" w:bidi="ar"/>
              </w:rPr>
              <w:t>大写：</w:t>
            </w:r>
            <w:r>
              <w:rPr>
                <w:rFonts w:hint="eastAsia" w:ascii="宋体" w:hAnsi="宋体" w:eastAsia="宋体" w:cs="宋体"/>
                <w:color w:val="auto"/>
                <w:sz w:val="21"/>
                <w:szCs w:val="21"/>
                <w:u w:val="singl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Autospacing="0" w:line="320" w:lineRule="exact"/>
              <w:jc w:val="left"/>
              <w:rPr>
                <w:rFonts w:hint="default"/>
                <w:u w:val="single"/>
                <w:lang w:val="en-US" w:eastAsia="zh-CN"/>
              </w:rPr>
            </w:pPr>
            <w:r>
              <w:rPr>
                <w:rFonts w:hint="eastAsia" w:ascii="宋体" w:hAnsi="宋体" w:eastAsia="宋体" w:cs="宋体"/>
                <w:color w:val="auto"/>
                <w:sz w:val="21"/>
                <w:szCs w:val="21"/>
                <w:lang w:val="en-US" w:eastAsia="zh-CN" w:bidi="ar"/>
              </w:rPr>
              <w:t>小写：</w:t>
            </w:r>
            <w:r>
              <w:rPr>
                <w:rFonts w:hint="eastAsia" w:ascii="宋体" w:hAnsi="宋体" w:eastAsia="宋体" w:cs="宋体"/>
                <w:color w:val="auto"/>
                <w:sz w:val="21"/>
                <w:szCs w:val="21"/>
                <w:u w:val="single"/>
                <w:lang w:val="en-US" w:eastAsia="zh-CN" w:bidi="ar"/>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olor w:val="auto"/>
          <w:sz w:val="24"/>
        </w:rPr>
      </w:pPr>
      <w:r>
        <w:rPr>
          <w:rFonts w:hint="eastAsia" w:ascii="宋体" w:hAnsi="宋体"/>
          <w:color w:val="auto"/>
          <w:sz w:val="24"/>
        </w:rPr>
        <w:t>注1.</w:t>
      </w:r>
      <w:r>
        <w:rPr>
          <w:rFonts w:hint="eastAsia"/>
          <w:color w:val="auto"/>
        </w:rPr>
        <w:t xml:space="preserve"> </w:t>
      </w:r>
      <w:r>
        <w:rPr>
          <w:rFonts w:hint="eastAsia" w:ascii="宋体" w:hAnsi="宋体"/>
          <w:color w:val="auto"/>
          <w:sz w:val="24"/>
        </w:rPr>
        <w:t>投标报价应是招标范围内全部工作内容的价格体现，包括</w:t>
      </w:r>
      <w:r>
        <w:rPr>
          <w:rFonts w:hint="eastAsia" w:ascii="宋体" w:hAnsi="宋体"/>
          <w:color w:val="auto"/>
          <w:sz w:val="24"/>
          <w:highlight w:val="none"/>
        </w:rPr>
        <w:t>全部产品安装、调试、检验及售后服务等内容的价格，以及为完成上述内容所必须的人工费、材料费、不可预见的费用、管理费、招标代理费、利润、税金和文件规定的其他各项应有的全部费用（综合报价）。对投标人认为没有考虑到的费用项目采购人将</w:t>
      </w:r>
      <w:r>
        <w:rPr>
          <w:rFonts w:hint="eastAsia" w:ascii="宋体" w:hAnsi="宋体"/>
          <w:color w:val="auto"/>
          <w:sz w:val="24"/>
        </w:rPr>
        <w:t>不予支付，并认为此项费用已包含在投标报价中；</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本项目最高限价为85万，投标报价高于最高限价的作无效标论处</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投标单位投标时须在报价明细表中注明投标选用品牌，本项目核心设备为上述清单第</w:t>
      </w:r>
      <w:r>
        <w:rPr>
          <w:rFonts w:hint="eastAsia" w:ascii="宋体" w:hAnsi="宋体"/>
          <w:color w:val="auto"/>
          <w:sz w:val="24"/>
          <w:lang w:val="en-US" w:eastAsia="zh-CN"/>
        </w:rPr>
        <w:t>1</w:t>
      </w:r>
      <w:r>
        <w:rPr>
          <w:rFonts w:hint="eastAsia" w:ascii="宋体" w:hAnsi="宋体"/>
          <w:color w:val="auto"/>
          <w:sz w:val="24"/>
        </w:rPr>
        <w:t>项“</w:t>
      </w:r>
      <w:r>
        <w:rPr>
          <w:rFonts w:hint="eastAsia" w:ascii="宋体" w:hAnsi="宋体"/>
          <w:color w:val="auto"/>
          <w:sz w:val="24"/>
          <w:lang w:val="en-US" w:eastAsia="zh-CN"/>
        </w:rPr>
        <w:t>54位智能短枪柜</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宋体" w:hAnsi="宋体"/>
          <w:b/>
          <w:bCs/>
          <w:color w:val="auto"/>
          <w:sz w:val="24"/>
        </w:rPr>
      </w:pPr>
      <w:r>
        <w:rPr>
          <w:rFonts w:hint="eastAsia" w:ascii="宋体" w:hAnsi="宋体"/>
          <w:b/>
          <w:bCs/>
          <w:color w:val="auto"/>
          <w:sz w:val="24"/>
        </w:rPr>
        <w:t>注：使用综合评分法的采购项目，提供相同核心品牌产品且通过资格审查、符合性审查的不同投标人参加同一合同项下投标的，按一家投标人计算，评审后得分最高的同品牌投标人获得中标人推荐资格；评审得分相同的，按投标报价由低到高排列；得分且投标报价相同的并列，投标文件满足招标文件全部实质性要求，且按照评审因素的量化指标评审得分最高得投标人为排名第一的中标候选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宋体" w:hAnsi="宋体"/>
          <w:color w:val="auto"/>
          <w:sz w:val="24"/>
        </w:rPr>
      </w:pPr>
      <w:r>
        <w:rPr>
          <w:rFonts w:hint="eastAsia" w:ascii="宋体" w:hAnsi="宋体"/>
          <w:color w:val="auto"/>
          <w:sz w:val="24"/>
        </w:rPr>
        <w:t>4</w:t>
      </w:r>
      <w:r>
        <w:rPr>
          <w:rFonts w:ascii="宋体" w:hAnsi="宋体"/>
          <w:color w:val="auto"/>
          <w:sz w:val="24"/>
        </w:rPr>
        <w:t>.</w:t>
      </w:r>
      <w:r>
        <w:rPr>
          <w:rFonts w:hint="eastAsia" w:ascii="宋体" w:hAnsi="宋体"/>
          <w:color w:val="auto"/>
          <w:sz w:val="24"/>
        </w:rPr>
        <w:t>各投标人必须使用本报价表且须逐格填写，除规定法定代表人或委托代理人签字处手写外，其余内容均要采用电脑打印，否则按无效标处理。</w:t>
      </w:r>
    </w:p>
    <w:p>
      <w:pPr>
        <w:spacing w:line="360" w:lineRule="auto"/>
        <w:ind w:firstLine="480"/>
        <w:rPr>
          <w:rFonts w:ascii="宋体" w:hAnsi="宋体"/>
          <w:color w:val="auto"/>
          <w:sz w:val="24"/>
        </w:rPr>
      </w:pPr>
    </w:p>
    <w:p>
      <w:pPr>
        <w:spacing w:line="360" w:lineRule="auto"/>
        <w:ind w:firstLine="480"/>
        <w:rPr>
          <w:rFonts w:ascii="宋体" w:hAnsi="宋体"/>
          <w:color w:val="auto"/>
          <w:sz w:val="24"/>
        </w:rPr>
      </w:pPr>
      <w:r>
        <w:rPr>
          <w:rFonts w:ascii="宋体" w:hAnsi="宋体"/>
          <w:color w:val="auto"/>
          <w:sz w:val="24"/>
        </w:rPr>
        <w:t>投标单位：</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公章</w:t>
      </w:r>
      <w:r>
        <w:rPr>
          <w:rFonts w:ascii="宋体" w:hAnsi="宋体"/>
          <w:color w:val="auto"/>
          <w:sz w:val="24"/>
        </w:rPr>
        <w:t>）</w:t>
      </w:r>
    </w:p>
    <w:p>
      <w:pPr>
        <w:spacing w:line="360" w:lineRule="auto"/>
        <w:ind w:firstLine="480"/>
        <w:rPr>
          <w:rFonts w:ascii="宋体" w:hAnsi="宋体"/>
          <w:color w:val="auto"/>
          <w:sz w:val="24"/>
        </w:rPr>
      </w:pPr>
    </w:p>
    <w:p>
      <w:pPr>
        <w:spacing w:line="360" w:lineRule="auto"/>
        <w:ind w:firstLine="480"/>
        <w:rPr>
          <w:rFonts w:ascii="宋体" w:hAnsi="宋体"/>
          <w:color w:val="auto"/>
          <w:sz w:val="24"/>
        </w:rPr>
      </w:pPr>
      <w:r>
        <w:rPr>
          <w:rFonts w:ascii="宋体" w:hAnsi="宋体"/>
          <w:color w:val="auto"/>
          <w:sz w:val="24"/>
        </w:rPr>
        <w:t>法定代表人或代理人：</w:t>
      </w:r>
      <w:r>
        <w:rPr>
          <w:rFonts w:hint="eastAsia" w:ascii="宋体" w:hAnsi="宋体"/>
          <w:color w:val="auto"/>
          <w:sz w:val="24"/>
        </w:rPr>
        <w:t xml:space="preserve"> </w:t>
      </w:r>
      <w:r>
        <w:rPr>
          <w:rFonts w:ascii="宋体" w:hAnsi="宋体"/>
          <w:color w:val="auto"/>
          <w:sz w:val="24"/>
        </w:rPr>
        <w:t xml:space="preserve"> （签字或盖章）</w:t>
      </w:r>
    </w:p>
    <w:p>
      <w:pPr>
        <w:pStyle w:val="38"/>
        <w:ind w:left="0" w:firstLine="0"/>
        <w:jc w:val="right"/>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r>
        <w:rPr>
          <w:rFonts w:hAnsi="宋体"/>
          <w:color w:val="auto"/>
        </w:rPr>
        <w:t>日期：     年   月   日</w:t>
      </w: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pStyle w:val="38"/>
        <w:ind w:left="0" w:right="480" w:firstLine="5880"/>
        <w:rPr>
          <w:rFonts w:hAnsi="宋体"/>
          <w:color w:val="auto"/>
        </w:rPr>
      </w:pPr>
    </w:p>
    <w:p>
      <w:pPr>
        <w:rPr>
          <w:rFonts w:hAnsi="宋体"/>
          <w:color w:val="auto"/>
        </w:rPr>
      </w:pPr>
      <w:r>
        <w:rPr>
          <w:rFonts w:hAnsi="宋体"/>
          <w:color w:val="auto"/>
        </w:rPr>
        <w:br w:type="page"/>
      </w:r>
      <w:bookmarkStart w:id="64" w:name="_GoBack"/>
      <w:bookmarkEnd w:id="64"/>
    </w:p>
    <w:p>
      <w:pPr>
        <w:spacing w:before="120" w:after="120" w:line="460" w:lineRule="exact"/>
        <w:jc w:val="center"/>
        <w:outlineLvl w:val="0"/>
        <w:rPr>
          <w:rFonts w:ascii="宋体" w:hAnsi="Courier New"/>
          <w:b/>
          <w:color w:val="auto"/>
          <w:sz w:val="32"/>
          <w:szCs w:val="32"/>
        </w:rPr>
      </w:pPr>
      <w:bookmarkStart w:id="51" w:name="_Toc130206666"/>
      <w:r>
        <w:rPr>
          <w:rFonts w:hint="eastAsia" w:ascii="宋体" w:hAnsi="Courier New"/>
          <w:b/>
          <w:color w:val="auto"/>
          <w:sz w:val="32"/>
          <w:szCs w:val="32"/>
        </w:rPr>
        <w:t>（十二）技术响应表</w:t>
      </w:r>
      <w:bookmarkEnd w:id="50"/>
      <w:bookmarkEnd w:id="51"/>
    </w:p>
    <w:tbl>
      <w:tblPr>
        <w:tblStyle w:val="39"/>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674"/>
        <w:gridCol w:w="2587"/>
        <w:gridCol w:w="2268"/>
        <w:gridCol w:w="2126"/>
        <w:gridCol w:w="141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66" w:hRule="exac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olor w:val="auto"/>
              </w:rPr>
            </w:pPr>
            <w:r>
              <w:rPr>
                <w:rFonts w:hint="eastAsia" w:ascii="宋体" w:hAnsi="宋体"/>
                <w:color w:val="auto"/>
              </w:rPr>
              <w:t>序号</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olor w:val="auto"/>
              </w:rPr>
            </w:pPr>
            <w:r>
              <w:rPr>
                <w:rFonts w:hint="eastAsia" w:ascii="宋体" w:hAnsi="宋体"/>
                <w:color w:val="auto"/>
              </w:rPr>
              <w:t>项目内容</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olor w:val="auto"/>
              </w:rPr>
            </w:pPr>
            <w:r>
              <w:rPr>
                <w:rFonts w:hint="eastAsia" w:ascii="宋体" w:hAnsi="宋体"/>
                <w:color w:val="auto"/>
              </w:rPr>
              <w:t>招标文件技术要求</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rPr>
            </w:pPr>
            <w:r>
              <w:rPr>
                <w:rFonts w:hint="eastAsia" w:ascii="宋体" w:hAnsi="宋体"/>
                <w:color w:val="auto"/>
              </w:rPr>
              <w:t>投标技术指标</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olor w:val="auto"/>
              </w:rPr>
            </w:pPr>
            <w:r>
              <w:rPr>
                <w:rFonts w:hint="eastAsia" w:ascii="宋体" w:hAnsi="宋体"/>
                <w:color w:val="auto"/>
              </w:rPr>
              <w:t>偏离情况</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37" w:hRule="exac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color w:val="auto"/>
                <w:sz w:val="24"/>
              </w:rPr>
            </w:pPr>
          </w:p>
        </w:tc>
      </w:tr>
    </w:tbl>
    <w:p>
      <w:pPr>
        <w:tabs>
          <w:tab w:val="left" w:pos="0"/>
        </w:tabs>
        <w:spacing w:line="480" w:lineRule="exact"/>
        <w:rPr>
          <w:color w:val="auto"/>
          <w:sz w:val="24"/>
          <w:szCs w:val="24"/>
        </w:rPr>
      </w:pPr>
      <w:r>
        <w:rPr>
          <w:rFonts w:hint="eastAsia"/>
          <w:color w:val="auto"/>
          <w:sz w:val="24"/>
          <w:szCs w:val="24"/>
        </w:rPr>
        <w:t>注：</w:t>
      </w:r>
      <w:r>
        <w:rPr>
          <w:color w:val="auto"/>
          <w:sz w:val="24"/>
          <w:szCs w:val="24"/>
        </w:rPr>
        <w:t>1.</w:t>
      </w:r>
      <w:r>
        <w:rPr>
          <w:rFonts w:hint="eastAsia"/>
          <w:color w:val="auto"/>
          <w:sz w:val="24"/>
          <w:szCs w:val="24"/>
        </w:rPr>
        <w:t>投标人应根据投标服务的指标，对照招标文件要求在</w:t>
      </w:r>
      <w:r>
        <w:rPr>
          <w:color w:val="auto"/>
          <w:sz w:val="24"/>
          <w:szCs w:val="24"/>
        </w:rPr>
        <w:t>“</w:t>
      </w:r>
      <w:r>
        <w:rPr>
          <w:rFonts w:hint="eastAsia"/>
          <w:color w:val="auto"/>
          <w:sz w:val="24"/>
          <w:szCs w:val="24"/>
        </w:rPr>
        <w:t>偏离情况</w:t>
      </w:r>
      <w:r>
        <w:rPr>
          <w:color w:val="auto"/>
          <w:sz w:val="24"/>
          <w:szCs w:val="24"/>
        </w:rPr>
        <w:t>”</w:t>
      </w:r>
      <w:r>
        <w:rPr>
          <w:rFonts w:hint="eastAsia"/>
          <w:color w:val="auto"/>
          <w:sz w:val="24"/>
          <w:szCs w:val="24"/>
        </w:rPr>
        <w:t>栏注明</w:t>
      </w:r>
      <w:r>
        <w:rPr>
          <w:color w:val="auto"/>
          <w:sz w:val="24"/>
          <w:szCs w:val="24"/>
        </w:rPr>
        <w:t>“</w:t>
      </w:r>
      <w:r>
        <w:rPr>
          <w:rFonts w:hint="eastAsia"/>
          <w:color w:val="auto"/>
          <w:sz w:val="24"/>
          <w:szCs w:val="24"/>
        </w:rPr>
        <w:t>正偏离、负偏离</w:t>
      </w:r>
      <w:r>
        <w:rPr>
          <w:color w:val="auto"/>
          <w:sz w:val="24"/>
          <w:szCs w:val="24"/>
        </w:rPr>
        <w:t>”</w:t>
      </w:r>
      <w:r>
        <w:rPr>
          <w:rFonts w:hint="eastAsia"/>
          <w:color w:val="auto"/>
          <w:sz w:val="24"/>
          <w:szCs w:val="24"/>
        </w:rPr>
        <w:t>情况，对</w:t>
      </w:r>
      <w:r>
        <w:rPr>
          <w:color w:val="auto"/>
          <w:sz w:val="24"/>
          <w:szCs w:val="24"/>
        </w:rPr>
        <w:t>“</w:t>
      </w:r>
      <w:r>
        <w:rPr>
          <w:rFonts w:hint="eastAsia"/>
          <w:color w:val="auto"/>
          <w:sz w:val="24"/>
          <w:szCs w:val="24"/>
        </w:rPr>
        <w:t>无偏离</w:t>
      </w:r>
      <w:r>
        <w:rPr>
          <w:color w:val="auto"/>
          <w:sz w:val="24"/>
          <w:szCs w:val="24"/>
        </w:rPr>
        <w:t>”</w:t>
      </w:r>
      <w:r>
        <w:rPr>
          <w:rFonts w:hint="eastAsia"/>
          <w:color w:val="auto"/>
          <w:sz w:val="24"/>
          <w:szCs w:val="24"/>
        </w:rPr>
        <w:t>技术参数未填写视为响应招标文件；</w:t>
      </w:r>
      <w:r>
        <w:rPr>
          <w:color w:val="auto"/>
          <w:sz w:val="24"/>
          <w:szCs w:val="24"/>
        </w:rPr>
        <w:t xml:space="preserve">     </w:t>
      </w:r>
    </w:p>
    <w:p>
      <w:pPr>
        <w:tabs>
          <w:tab w:val="left" w:pos="0"/>
        </w:tabs>
        <w:spacing w:line="480" w:lineRule="exact"/>
        <w:rPr>
          <w:color w:val="auto"/>
          <w:sz w:val="24"/>
          <w:szCs w:val="24"/>
        </w:rPr>
      </w:pPr>
      <w:r>
        <w:rPr>
          <w:color w:val="auto"/>
          <w:sz w:val="24"/>
          <w:szCs w:val="24"/>
        </w:rPr>
        <w:t>2.</w:t>
      </w:r>
      <w:r>
        <w:rPr>
          <w:rFonts w:hint="eastAsia"/>
          <w:color w:val="auto"/>
          <w:sz w:val="24"/>
          <w:szCs w:val="24"/>
        </w:rPr>
        <w:t>投标人如在投标过程中提供虚假材料谋取中标成交的或采取不正当手段诋毁、排挤其他供应商的</w:t>
      </w:r>
      <w:r>
        <w:rPr>
          <w:color w:val="auto"/>
          <w:sz w:val="24"/>
          <w:szCs w:val="24"/>
        </w:rPr>
        <w:t>,</w:t>
      </w:r>
      <w:r>
        <w:rPr>
          <w:rFonts w:hint="eastAsia"/>
          <w:color w:val="auto"/>
          <w:sz w:val="24"/>
          <w:szCs w:val="24"/>
        </w:rPr>
        <w:t>将承担相应法律责任。</w:t>
      </w:r>
    </w:p>
    <w:p>
      <w:pPr>
        <w:widowControl/>
        <w:spacing w:line="480" w:lineRule="exact"/>
        <w:ind w:firstLine="120"/>
        <w:jc w:val="left"/>
        <w:rPr>
          <w:rFonts w:ascii="宋体" w:hAnsi="宋体" w:cs="宋体"/>
          <w:color w:val="auto"/>
          <w:sz w:val="24"/>
        </w:rPr>
      </w:pPr>
    </w:p>
    <w:p>
      <w:pPr>
        <w:widowControl/>
        <w:spacing w:line="480" w:lineRule="exact"/>
        <w:jc w:val="left"/>
        <w:rPr>
          <w:rFonts w:ascii="宋体" w:hAnsi="宋体" w:cs="宋体"/>
          <w:color w:val="auto"/>
          <w:sz w:val="24"/>
        </w:rPr>
      </w:pPr>
    </w:p>
    <w:p>
      <w:pPr>
        <w:widowControl/>
        <w:spacing w:line="480" w:lineRule="exact"/>
        <w:ind w:firstLine="480"/>
        <w:jc w:val="left"/>
        <w:rPr>
          <w:rFonts w:ascii="宋体" w:hAnsi="宋体" w:cs="宋体"/>
          <w:color w:val="auto"/>
          <w:sz w:val="24"/>
        </w:rPr>
      </w:pPr>
    </w:p>
    <w:p>
      <w:pPr>
        <w:widowControl/>
        <w:spacing w:line="480" w:lineRule="exact"/>
        <w:ind w:firstLine="480"/>
        <w:jc w:val="left"/>
        <w:rPr>
          <w:rFonts w:ascii="宋体" w:hAnsi="宋体" w:cs="宋体"/>
          <w:color w:val="auto"/>
          <w:sz w:val="24"/>
          <w:u w:val="single"/>
        </w:rPr>
      </w:pPr>
      <w:r>
        <w:rPr>
          <w:rFonts w:hint="eastAsia" w:ascii="宋体" w:hAnsi="宋体" w:cs="宋体"/>
          <w:color w:val="auto"/>
          <w:sz w:val="24"/>
        </w:rPr>
        <w:t>法定代表人或委托代理人</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sz w:val="24"/>
        </w:rPr>
        <w:t>（盖章或签字）</w:t>
      </w:r>
    </w:p>
    <w:p>
      <w:pPr>
        <w:spacing w:before="100" w:beforeAutospacing="1" w:after="100" w:afterAutospacing="1" w:line="480" w:lineRule="exact"/>
        <w:ind w:firstLine="480"/>
        <w:rPr>
          <w:rFonts w:ascii="宋体" w:hAnsi="宋体" w:cs="宋体"/>
          <w:color w:val="auto"/>
          <w:sz w:val="24"/>
        </w:rPr>
      </w:pPr>
      <w:r>
        <w:rPr>
          <w:rFonts w:hint="eastAsia" w:ascii="宋体" w:hAnsi="宋体" w:cs="宋体"/>
          <w:color w:val="auto"/>
          <w:sz w:val="24"/>
        </w:rPr>
        <w:t xml:space="preserve">投标单位：  </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sz w:val="24"/>
        </w:rPr>
        <w:t xml:space="preserve"> （全称并加盖公章）</w:t>
      </w:r>
    </w:p>
    <w:p>
      <w:pPr>
        <w:pStyle w:val="47"/>
        <w:ind w:right="-351"/>
        <w:rPr>
          <w:color w:val="auto"/>
        </w:rPr>
      </w:pPr>
    </w:p>
    <w:p>
      <w:pPr>
        <w:spacing w:line="460" w:lineRule="exact"/>
        <w:ind w:firstLine="3840"/>
        <w:rPr>
          <w:rFonts w:ascii="黑体" w:hAnsi="黑体" w:eastAsia="黑体" w:cs="黑体"/>
          <w:b/>
          <w:bCs/>
          <w:color w:val="auto"/>
        </w:rPr>
      </w:pPr>
      <w:r>
        <w:rPr>
          <w:rFonts w:hint="eastAsia" w:ascii="宋体" w:hAnsi="宋体" w:cs="宋体"/>
          <w:color w:val="auto"/>
          <w:sz w:val="24"/>
        </w:rPr>
        <w:t xml:space="preserve">          </w:t>
      </w:r>
      <w:r>
        <w:rPr>
          <w:rFonts w:hint="eastAsia" w:ascii="宋体" w:hAnsi="宋体"/>
          <w:bCs/>
          <w:color w:val="auto"/>
          <w:sz w:val="24"/>
        </w:rPr>
        <w:t xml:space="preserve">               </w:t>
      </w:r>
      <w:bookmarkStart w:id="52" w:name="_Toc120519630"/>
      <w:bookmarkStart w:id="53" w:name="_Toc120519836"/>
      <w:r>
        <w:rPr>
          <w:rFonts w:hint="eastAsia" w:ascii="宋体" w:hAnsi="宋体"/>
          <w:bCs/>
          <w:color w:val="auto"/>
          <w:sz w:val="24"/>
        </w:rPr>
        <w:t>年    月    日</w:t>
      </w:r>
      <w:bookmarkEnd w:id="52"/>
      <w:bookmarkEnd w:id="53"/>
    </w:p>
    <w:p>
      <w:pPr>
        <w:rPr>
          <w:color w:val="auto"/>
        </w:rPr>
      </w:pPr>
    </w:p>
    <w:p>
      <w:pPr>
        <w:pStyle w:val="47"/>
        <w:ind w:right="-351"/>
        <w:rPr>
          <w:color w:val="auto"/>
        </w:rPr>
      </w:pPr>
    </w:p>
    <w:p>
      <w:pPr>
        <w:pStyle w:val="47"/>
        <w:ind w:right="-351"/>
        <w:rPr>
          <w:color w:val="auto"/>
        </w:rPr>
      </w:pPr>
    </w:p>
    <w:p>
      <w:pPr>
        <w:pStyle w:val="47"/>
        <w:ind w:right="-351"/>
        <w:rPr>
          <w:color w:val="auto"/>
        </w:rPr>
      </w:pPr>
    </w:p>
    <w:p>
      <w:pPr>
        <w:spacing w:before="120" w:after="120" w:line="460" w:lineRule="exact"/>
        <w:jc w:val="center"/>
        <w:outlineLvl w:val="0"/>
        <w:rPr>
          <w:rFonts w:ascii="宋体" w:hAnsi="Courier New"/>
          <w:b/>
          <w:color w:val="auto"/>
          <w:sz w:val="32"/>
          <w:szCs w:val="32"/>
        </w:rPr>
      </w:pPr>
      <w:bookmarkStart w:id="54" w:name="_Toc130206667"/>
      <w:bookmarkStart w:id="55" w:name="_Toc120519631"/>
      <w:r>
        <w:rPr>
          <w:rFonts w:hint="eastAsia" w:ascii="宋体" w:hAnsi="Courier New"/>
          <w:b/>
          <w:color w:val="auto"/>
          <w:sz w:val="32"/>
          <w:szCs w:val="32"/>
        </w:rPr>
        <w:t>（十三）具备履行合同所必需的设备和专业技术能力的声明函</w:t>
      </w:r>
      <w:bookmarkEnd w:id="54"/>
      <w:bookmarkEnd w:id="55"/>
    </w:p>
    <w:p>
      <w:pPr>
        <w:spacing w:line="600" w:lineRule="exact"/>
        <w:ind w:firstLine="492"/>
        <w:rPr>
          <w:rFonts w:ascii="宋体" w:hAnsi="宋体"/>
          <w:bCs/>
          <w:color w:val="auto"/>
          <w:sz w:val="24"/>
        </w:rPr>
      </w:pPr>
      <w:r>
        <w:rPr>
          <w:rFonts w:hint="eastAsia" w:ascii="宋体" w:hAnsi="宋体"/>
          <w:bCs/>
          <w:color w:val="auto"/>
          <w:sz w:val="24"/>
        </w:rPr>
        <w:t>我方郑重声明：我方具备履行本项采购合同所必需的设备和专业技术能力，为履行本项采购合同我方具备如下主要设备和主要专业技术能力：</w:t>
      </w:r>
    </w:p>
    <w:p>
      <w:pPr>
        <w:spacing w:line="600" w:lineRule="exact"/>
        <w:ind w:firstLine="492"/>
        <w:rPr>
          <w:rFonts w:ascii="宋体" w:hAnsi="宋体"/>
          <w:bCs/>
          <w:color w:val="auto"/>
          <w:sz w:val="24"/>
          <w:u w:val="single"/>
        </w:rPr>
      </w:pPr>
      <w:r>
        <w:rPr>
          <w:rFonts w:hint="eastAsia" w:ascii="宋体" w:hAnsi="宋体"/>
          <w:bCs/>
          <w:color w:val="auto"/>
          <w:sz w:val="24"/>
        </w:rPr>
        <w:t>主要设备有：</w:t>
      </w:r>
      <w:r>
        <w:rPr>
          <w:rFonts w:hint="eastAsia" w:ascii="宋体" w:hAnsi="宋体"/>
          <w:bCs/>
          <w:color w:val="auto"/>
          <w:sz w:val="24"/>
          <w:u w:val="single"/>
        </w:rPr>
        <w:t xml:space="preserve">                                                  </w:t>
      </w:r>
    </w:p>
    <w:p>
      <w:pPr>
        <w:spacing w:line="600" w:lineRule="exact"/>
        <w:ind w:firstLine="492"/>
        <w:rPr>
          <w:rFonts w:ascii="宋体" w:hAnsi="宋体"/>
          <w:bCs/>
          <w:color w:val="auto"/>
          <w:sz w:val="24"/>
        </w:rPr>
      </w:pPr>
      <w:r>
        <w:rPr>
          <w:rFonts w:hint="eastAsia" w:ascii="宋体" w:hAnsi="宋体"/>
          <w:bCs/>
          <w:color w:val="auto"/>
          <w:sz w:val="24"/>
        </w:rPr>
        <w:t>主要专业技术能力有：</w:t>
      </w:r>
      <w:r>
        <w:rPr>
          <w:rFonts w:hint="eastAsia" w:ascii="宋体" w:hAnsi="宋体"/>
          <w:bCs/>
          <w:color w:val="auto"/>
          <w:sz w:val="24"/>
          <w:u w:val="single"/>
        </w:rPr>
        <w:t xml:space="preserve">                                          </w:t>
      </w:r>
      <w:r>
        <w:rPr>
          <w:rFonts w:hint="eastAsia" w:ascii="宋体" w:hAnsi="宋体"/>
          <w:bCs/>
          <w:color w:val="auto"/>
          <w:sz w:val="24"/>
        </w:rPr>
        <w:t xml:space="preserve"> </w:t>
      </w:r>
    </w:p>
    <w:p>
      <w:pPr>
        <w:spacing w:line="600" w:lineRule="exact"/>
        <w:rPr>
          <w:rFonts w:ascii="宋体" w:hAnsi="宋体"/>
          <w:bCs/>
          <w:color w:val="auto"/>
          <w:sz w:val="24"/>
        </w:rPr>
      </w:pPr>
      <w:r>
        <w:rPr>
          <w:rFonts w:hint="eastAsia" w:ascii="宋体" w:hAnsi="宋体"/>
          <w:bCs/>
          <w:color w:val="auto"/>
          <w:sz w:val="24"/>
        </w:rPr>
        <w:t xml:space="preserve">                                     </w:t>
      </w:r>
    </w:p>
    <w:p>
      <w:pPr>
        <w:spacing w:line="600" w:lineRule="exact"/>
        <w:rPr>
          <w:rFonts w:ascii="宋体" w:hAnsi="宋体"/>
          <w:bCs/>
          <w:color w:val="auto"/>
          <w:sz w:val="24"/>
        </w:rPr>
      </w:pPr>
    </w:p>
    <w:p>
      <w:pPr>
        <w:spacing w:line="460" w:lineRule="exact"/>
        <w:ind w:firstLine="3840"/>
        <w:rPr>
          <w:rFonts w:ascii="宋体" w:hAnsi="宋体"/>
          <w:bCs/>
          <w:color w:val="auto"/>
          <w:sz w:val="24"/>
        </w:rPr>
      </w:pPr>
    </w:p>
    <w:p>
      <w:pPr>
        <w:spacing w:line="460" w:lineRule="exact"/>
        <w:ind w:firstLine="3840"/>
        <w:rPr>
          <w:rFonts w:ascii="宋体" w:hAnsi="宋体"/>
          <w:bCs/>
          <w:color w:val="auto"/>
          <w:sz w:val="24"/>
        </w:rPr>
      </w:pPr>
    </w:p>
    <w:p>
      <w:pPr>
        <w:spacing w:line="460" w:lineRule="exact"/>
        <w:ind w:firstLine="3840"/>
        <w:rPr>
          <w:rFonts w:ascii="宋体" w:hAnsi="宋体"/>
          <w:bCs/>
          <w:color w:val="auto"/>
          <w:sz w:val="24"/>
        </w:rPr>
      </w:pPr>
    </w:p>
    <w:p>
      <w:pPr>
        <w:spacing w:line="460" w:lineRule="exact"/>
        <w:ind w:firstLine="3840"/>
        <w:rPr>
          <w:rFonts w:ascii="宋体" w:hAnsi="宋体"/>
          <w:bCs/>
          <w:color w:val="auto"/>
          <w:sz w:val="24"/>
        </w:rPr>
      </w:pPr>
      <w:r>
        <w:rPr>
          <w:rFonts w:hint="eastAsia" w:ascii="宋体" w:hAnsi="宋体"/>
          <w:bCs/>
          <w:color w:val="auto"/>
          <w:sz w:val="24"/>
        </w:rPr>
        <w:t>供应商名称（公章）：</w:t>
      </w:r>
    </w:p>
    <w:p>
      <w:pPr>
        <w:spacing w:line="460" w:lineRule="exact"/>
        <w:ind w:firstLine="3840"/>
        <w:rPr>
          <w:rFonts w:ascii="宋体" w:hAnsi="宋体"/>
          <w:bCs/>
          <w:color w:val="auto"/>
          <w:sz w:val="24"/>
        </w:rPr>
      </w:pPr>
      <w:r>
        <w:rPr>
          <w:rFonts w:hint="eastAsia" w:ascii="宋体" w:hAnsi="宋体"/>
          <w:bCs/>
          <w:color w:val="auto"/>
          <w:sz w:val="24"/>
        </w:rPr>
        <w:t xml:space="preserve">                                                                         </w:t>
      </w:r>
    </w:p>
    <w:p>
      <w:pPr>
        <w:spacing w:line="460" w:lineRule="exact"/>
        <w:ind w:firstLine="3840"/>
        <w:jc w:val="right"/>
        <w:rPr>
          <w:rFonts w:ascii="宋体" w:hAnsi="宋体"/>
          <w:bCs/>
          <w:color w:val="auto"/>
          <w:sz w:val="24"/>
        </w:rPr>
      </w:pPr>
      <w:r>
        <w:rPr>
          <w:rFonts w:hint="eastAsia" w:ascii="宋体" w:hAnsi="宋体"/>
          <w:bCs/>
          <w:color w:val="auto"/>
          <w:sz w:val="24"/>
        </w:rPr>
        <w:t xml:space="preserve"> </w:t>
      </w:r>
      <w:bookmarkStart w:id="56" w:name="_Toc120519838"/>
      <w:bookmarkStart w:id="57" w:name="_Toc120519632"/>
      <w:r>
        <w:rPr>
          <w:rFonts w:hint="eastAsia" w:ascii="宋体" w:hAnsi="宋体"/>
          <w:bCs/>
          <w:color w:val="auto"/>
          <w:sz w:val="24"/>
        </w:rPr>
        <w:t>日  期：</w:t>
      </w:r>
      <w:r>
        <w:rPr>
          <w:rFonts w:hint="eastAsia" w:ascii="宋体" w:hAnsi="宋体"/>
          <w:bCs/>
          <w:color w:val="auto"/>
          <w:sz w:val="24"/>
          <w:u w:val="single"/>
        </w:rPr>
        <w:t>______年    月    日</w:t>
      </w:r>
      <w:bookmarkEnd w:id="56"/>
      <w:bookmarkEnd w:id="57"/>
    </w:p>
    <w:p>
      <w:pPr>
        <w:pStyle w:val="16"/>
        <w:rPr>
          <w:rFonts w:ascii="宋体" w:hAnsi="宋体"/>
          <w:b/>
          <w:color w:val="auto"/>
          <w:sz w:val="36"/>
          <w:szCs w:val="36"/>
          <w:lang w:eastAsia="zh-CN"/>
        </w:rPr>
      </w:pPr>
    </w:p>
    <w:p>
      <w:pPr>
        <w:widowControl/>
        <w:spacing w:line="320" w:lineRule="atLeast"/>
        <w:jc w:val="center"/>
        <w:rPr>
          <w:rFonts w:ascii="宋体" w:hAnsi="宋体"/>
          <w:b/>
          <w:color w:val="auto"/>
          <w:sz w:val="36"/>
        </w:rPr>
      </w:pPr>
    </w:p>
    <w:p>
      <w:pPr>
        <w:widowControl/>
        <w:spacing w:line="320" w:lineRule="atLeast"/>
        <w:jc w:val="center"/>
        <w:rPr>
          <w:rFonts w:ascii="宋体" w:hAnsi="宋体"/>
          <w:b/>
          <w:color w:val="auto"/>
          <w:sz w:val="36"/>
        </w:rPr>
      </w:pPr>
    </w:p>
    <w:p>
      <w:pPr>
        <w:spacing w:line="480" w:lineRule="exact"/>
        <w:jc w:val="center"/>
        <w:rPr>
          <w:rFonts w:ascii="黑体" w:hAnsi="黑体" w:eastAsia="黑体" w:cs="黑体"/>
          <w:b/>
          <w:color w:val="auto"/>
          <w:sz w:val="36"/>
          <w:szCs w:val="36"/>
        </w:rPr>
      </w:pPr>
    </w:p>
    <w:p>
      <w:pPr>
        <w:spacing w:line="480" w:lineRule="exact"/>
        <w:jc w:val="center"/>
        <w:rPr>
          <w:rFonts w:ascii="黑体" w:hAnsi="黑体" w:eastAsia="黑体" w:cs="黑体"/>
          <w:b/>
          <w:color w:val="auto"/>
          <w:sz w:val="36"/>
          <w:szCs w:val="36"/>
        </w:rPr>
      </w:pPr>
    </w:p>
    <w:p>
      <w:pPr>
        <w:spacing w:line="480" w:lineRule="exact"/>
        <w:jc w:val="center"/>
        <w:rPr>
          <w:rFonts w:ascii="黑体" w:hAnsi="黑体" w:eastAsia="黑体" w:cs="黑体"/>
          <w:b/>
          <w:color w:val="auto"/>
          <w:sz w:val="36"/>
          <w:szCs w:val="36"/>
        </w:rPr>
      </w:pPr>
    </w:p>
    <w:p>
      <w:pPr>
        <w:spacing w:line="480" w:lineRule="exact"/>
        <w:jc w:val="center"/>
        <w:rPr>
          <w:rFonts w:ascii="黑体" w:hAnsi="黑体" w:eastAsia="黑体" w:cs="黑体"/>
          <w:b/>
          <w:color w:val="auto"/>
          <w:sz w:val="36"/>
          <w:szCs w:val="36"/>
        </w:rPr>
      </w:pPr>
    </w:p>
    <w:p>
      <w:pPr>
        <w:spacing w:line="480" w:lineRule="exact"/>
        <w:jc w:val="center"/>
        <w:rPr>
          <w:rFonts w:ascii="黑体" w:hAnsi="黑体" w:eastAsia="黑体" w:cs="黑体"/>
          <w:b/>
          <w:color w:val="auto"/>
          <w:sz w:val="36"/>
          <w:szCs w:val="36"/>
        </w:rPr>
      </w:pPr>
    </w:p>
    <w:p>
      <w:pPr>
        <w:spacing w:line="480" w:lineRule="exact"/>
        <w:jc w:val="center"/>
        <w:rPr>
          <w:rFonts w:ascii="黑体" w:hAnsi="黑体" w:eastAsia="黑体" w:cs="黑体"/>
          <w:b/>
          <w:color w:val="auto"/>
          <w:sz w:val="36"/>
          <w:szCs w:val="36"/>
        </w:rPr>
      </w:pPr>
    </w:p>
    <w:p>
      <w:pPr>
        <w:pStyle w:val="47"/>
        <w:ind w:right="-351"/>
        <w:rPr>
          <w:color w:val="auto"/>
        </w:rPr>
      </w:pPr>
    </w:p>
    <w:p>
      <w:pPr>
        <w:pStyle w:val="47"/>
        <w:ind w:right="-351"/>
        <w:rPr>
          <w:color w:val="auto"/>
        </w:rPr>
      </w:pPr>
    </w:p>
    <w:p>
      <w:pPr>
        <w:pStyle w:val="47"/>
        <w:ind w:right="-351"/>
        <w:rPr>
          <w:color w:val="auto"/>
        </w:rPr>
      </w:pPr>
    </w:p>
    <w:p>
      <w:pPr>
        <w:pStyle w:val="47"/>
        <w:ind w:right="-351"/>
        <w:rPr>
          <w:color w:val="auto"/>
        </w:rPr>
      </w:pPr>
    </w:p>
    <w:p>
      <w:pPr>
        <w:pStyle w:val="47"/>
        <w:ind w:right="-351"/>
        <w:rPr>
          <w:color w:val="auto"/>
        </w:rPr>
      </w:pPr>
    </w:p>
    <w:p>
      <w:pPr>
        <w:pStyle w:val="47"/>
        <w:ind w:right="-351"/>
        <w:rPr>
          <w:color w:val="auto"/>
        </w:rPr>
      </w:pPr>
    </w:p>
    <w:p>
      <w:pPr>
        <w:spacing w:before="120" w:after="120" w:line="460" w:lineRule="exact"/>
        <w:ind w:firstLine="161"/>
        <w:jc w:val="center"/>
        <w:outlineLvl w:val="0"/>
        <w:rPr>
          <w:rFonts w:ascii="宋体" w:hAnsi="Courier New"/>
          <w:b/>
          <w:color w:val="auto"/>
          <w:sz w:val="32"/>
          <w:szCs w:val="32"/>
        </w:rPr>
      </w:pPr>
      <w:bookmarkStart w:id="58" w:name="_Toc130206668"/>
      <w:bookmarkStart w:id="59" w:name="_Toc120519635"/>
      <w:r>
        <w:rPr>
          <w:rFonts w:hint="eastAsia" w:ascii="宋体" w:hAnsi="Courier New"/>
          <w:b/>
          <w:color w:val="auto"/>
          <w:sz w:val="32"/>
          <w:szCs w:val="32"/>
        </w:rPr>
        <w:t>（十四）服务承诺书</w:t>
      </w:r>
      <w:bookmarkEnd w:id="58"/>
      <w:bookmarkEnd w:id="59"/>
    </w:p>
    <w:p>
      <w:pPr>
        <w:spacing w:line="480" w:lineRule="exact"/>
        <w:ind w:firstLine="120"/>
        <w:rPr>
          <w:color w:val="auto"/>
          <w:sz w:val="24"/>
        </w:rPr>
      </w:pPr>
    </w:p>
    <w:tbl>
      <w:tblPr>
        <w:tblStyle w:val="39"/>
        <w:tblW w:w="90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7"/>
        <w:gridCol w:w="6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1" w:hRule="atLeast"/>
          <w:jc w:val="center"/>
        </w:trPr>
        <w:tc>
          <w:tcPr>
            <w:tcW w:w="2137" w:type="dxa"/>
            <w:noWrap w:val="0"/>
            <w:vAlign w:val="center"/>
          </w:tcPr>
          <w:p>
            <w:pPr>
              <w:tabs>
                <w:tab w:val="left" w:pos="0"/>
              </w:tabs>
              <w:spacing w:line="480" w:lineRule="exact"/>
              <w:jc w:val="center"/>
              <w:rPr>
                <w:rFonts w:ascii="宋体" w:hAnsi="宋体"/>
                <w:color w:val="auto"/>
                <w:sz w:val="24"/>
              </w:rPr>
            </w:pPr>
            <w:r>
              <w:rPr>
                <w:rFonts w:hint="eastAsia" w:ascii="宋体" w:hAnsi="宋体"/>
                <w:color w:val="auto"/>
                <w:sz w:val="24"/>
              </w:rPr>
              <w:t>服      务</w:t>
            </w:r>
          </w:p>
          <w:p>
            <w:pPr>
              <w:tabs>
                <w:tab w:val="left" w:pos="0"/>
              </w:tabs>
              <w:spacing w:line="480" w:lineRule="exact"/>
              <w:jc w:val="center"/>
              <w:rPr>
                <w:rFonts w:ascii="宋体" w:hAnsi="宋体"/>
                <w:color w:val="auto"/>
                <w:sz w:val="24"/>
              </w:rPr>
            </w:pPr>
            <w:r>
              <w:rPr>
                <w:rFonts w:hint="eastAsia" w:ascii="宋体" w:hAnsi="宋体"/>
                <w:color w:val="auto"/>
                <w:sz w:val="24"/>
              </w:rPr>
              <w:t>内      容</w:t>
            </w:r>
          </w:p>
        </w:tc>
        <w:tc>
          <w:tcPr>
            <w:tcW w:w="6918" w:type="dxa"/>
            <w:noWrap w:val="0"/>
          </w:tcPr>
          <w:p>
            <w:pPr>
              <w:spacing w:line="480" w:lineRule="exact"/>
              <w:ind w:firstLine="480" w:firstLineChars="200"/>
              <w:jc w:val="left"/>
              <w:rPr>
                <w:rFonts w:hint="eastAsia" w:ascii="宋体" w:hAnsi="宋体" w:cs="宋体"/>
                <w:b w:val="0"/>
                <w:bCs/>
                <w:sz w:val="24"/>
              </w:rPr>
            </w:pPr>
            <w:r>
              <w:rPr>
                <w:rFonts w:hint="eastAsia" w:ascii="宋体" w:hAnsi="宋体"/>
                <w:b w:val="0"/>
                <w:bCs/>
                <w:sz w:val="24"/>
              </w:rPr>
              <w:t>1. 各投标人必须严格按照本次招标技术参数要求进行合理报价并供货，如后期出现验收不合格情形视同虚假承诺谋取中标成交，将被列入不良行为记录名单。</w:t>
            </w:r>
          </w:p>
          <w:p>
            <w:pPr>
              <w:widowControl/>
              <w:snapToGrid w:val="0"/>
              <w:spacing w:line="480" w:lineRule="exact"/>
              <w:ind w:firstLine="480" w:firstLineChars="200"/>
              <w:outlineLvl w:val="0"/>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 xml:space="preserve">. </w:t>
            </w:r>
            <w:r>
              <w:rPr>
                <w:rFonts w:hint="eastAsia" w:ascii="宋体" w:hAnsi="宋体" w:cs="宋体"/>
                <w:color w:val="000000"/>
                <w:kern w:val="0"/>
                <w:sz w:val="24"/>
              </w:rPr>
              <w:t>全部产品</w:t>
            </w:r>
            <w:r>
              <w:rPr>
                <w:rFonts w:hint="eastAsia" w:ascii="宋体" w:hAnsi="宋体" w:cs="宋体"/>
                <w:kern w:val="0"/>
                <w:sz w:val="24"/>
              </w:rPr>
              <w:t>提供三年质保期服务。免费质保期间出现的问题，必须在2小时内响应，</w:t>
            </w:r>
            <w:r>
              <w:rPr>
                <w:rFonts w:ascii="宋体" w:hAnsi="宋体" w:cs="宋体"/>
                <w:kern w:val="0"/>
                <w:sz w:val="24"/>
              </w:rPr>
              <w:t>12</w:t>
            </w:r>
            <w:r>
              <w:rPr>
                <w:rFonts w:hint="eastAsia" w:ascii="宋体" w:hAnsi="宋体" w:cs="宋体"/>
                <w:kern w:val="0"/>
                <w:sz w:val="24"/>
              </w:rPr>
              <w:t>个小时内到达现场，</w:t>
            </w:r>
            <w:r>
              <w:rPr>
                <w:rFonts w:ascii="宋体" w:hAnsi="宋体" w:cs="宋体"/>
                <w:kern w:val="0"/>
                <w:sz w:val="24"/>
              </w:rPr>
              <w:t>24</w:t>
            </w:r>
            <w:r>
              <w:rPr>
                <w:rFonts w:hint="eastAsia" w:ascii="宋体" w:hAnsi="宋体" w:cs="宋体"/>
                <w:kern w:val="0"/>
                <w:sz w:val="24"/>
              </w:rPr>
              <w:t>小时内修复。如需要更换设备或送修，必须在7个工作日内完成。</w:t>
            </w:r>
          </w:p>
          <w:p>
            <w:pPr>
              <w:widowControl/>
              <w:snapToGrid w:val="0"/>
              <w:spacing w:line="480" w:lineRule="exact"/>
              <w:ind w:firstLine="480" w:firstLineChars="200"/>
              <w:outlineLvl w:val="0"/>
              <w:rPr>
                <w:rFonts w:hint="eastAsia" w:ascii="宋体" w:hAnsi="宋体" w:cs="宋体"/>
                <w:kern w:val="0"/>
                <w:sz w:val="24"/>
              </w:rPr>
            </w:pPr>
            <w:r>
              <w:rPr>
                <w:rFonts w:hint="eastAsia" w:ascii="宋体" w:hAnsi="宋体" w:cs="宋体"/>
                <w:kern w:val="0"/>
                <w:sz w:val="24"/>
              </w:rPr>
              <w:t>3．中标单位自行承担安装过程中的安全责任。</w:t>
            </w:r>
          </w:p>
          <w:p>
            <w:pPr>
              <w:tabs>
                <w:tab w:val="left" w:pos="0"/>
              </w:tabs>
              <w:spacing w:line="480" w:lineRule="exact"/>
              <w:rPr>
                <w:rFonts w:ascii="宋体" w:hAnsi="宋体"/>
                <w:color w:val="auto"/>
                <w:sz w:val="24"/>
              </w:rPr>
            </w:pPr>
            <w:r>
              <w:rPr>
                <w:rFonts w:hint="eastAsia" w:ascii="宋体" w:hAnsi="宋体" w:cs="宋体"/>
                <w:kern w:val="0"/>
                <w:sz w:val="24"/>
              </w:rPr>
              <w:t>4．投标人在设备安装过程中涉及第三方产品知识产权情况，若出现技术、经济或法律上的纠纷，应由中标人全面承担并全权解决，并确保不影响项目的进度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6" w:hRule="atLeast"/>
          <w:jc w:val="center"/>
        </w:trPr>
        <w:tc>
          <w:tcPr>
            <w:tcW w:w="2137" w:type="dxa"/>
            <w:noWrap w:val="0"/>
            <w:vAlign w:val="center"/>
          </w:tcPr>
          <w:p>
            <w:pPr>
              <w:tabs>
                <w:tab w:val="left" w:pos="0"/>
              </w:tabs>
              <w:spacing w:line="480" w:lineRule="exact"/>
              <w:jc w:val="center"/>
              <w:rPr>
                <w:rFonts w:ascii="宋体" w:hAnsi="宋体"/>
                <w:color w:val="auto"/>
                <w:sz w:val="24"/>
              </w:rPr>
            </w:pPr>
            <w:r>
              <w:rPr>
                <w:rFonts w:hint="eastAsia" w:ascii="宋体" w:hAnsi="宋体"/>
                <w:color w:val="auto"/>
                <w:sz w:val="24"/>
              </w:rPr>
              <w:t>承      诺</w:t>
            </w:r>
          </w:p>
        </w:tc>
        <w:tc>
          <w:tcPr>
            <w:tcW w:w="6918" w:type="dxa"/>
            <w:noWrap w:val="0"/>
          </w:tcPr>
          <w:p>
            <w:pPr>
              <w:spacing w:line="480" w:lineRule="exact"/>
              <w:ind w:left="2"/>
              <w:rPr>
                <w:rFonts w:ascii="宋体" w:hAnsi="宋体"/>
                <w:color w:val="auto"/>
                <w:sz w:val="24"/>
              </w:rPr>
            </w:pPr>
          </w:p>
        </w:tc>
      </w:tr>
    </w:tbl>
    <w:p>
      <w:pPr>
        <w:widowControl/>
        <w:spacing w:before="100" w:beforeAutospacing="1" w:after="100" w:afterAutospacing="1" w:line="480" w:lineRule="exact"/>
        <w:jc w:val="left"/>
        <w:rPr>
          <w:color w:val="auto"/>
          <w:sz w:val="24"/>
        </w:rPr>
      </w:pPr>
    </w:p>
    <w:p>
      <w:pPr>
        <w:widowControl/>
        <w:spacing w:before="100" w:beforeAutospacing="1" w:after="100" w:afterAutospacing="1" w:line="480" w:lineRule="exact"/>
        <w:jc w:val="left"/>
        <w:rPr>
          <w:rFonts w:ascii="宋体" w:hAnsi="宋体" w:cs="宋体"/>
          <w:color w:val="auto"/>
          <w:sz w:val="24"/>
          <w:u w:val="single"/>
        </w:rPr>
      </w:pPr>
      <w:r>
        <w:rPr>
          <w:rFonts w:hint="eastAsia"/>
          <w:color w:val="auto"/>
          <w:sz w:val="24"/>
        </w:rPr>
        <w:t>法定代表人或委托代理人：</w:t>
      </w:r>
      <w:r>
        <w:rPr>
          <w:rFonts w:hint="eastAsia"/>
          <w:color w:val="auto"/>
          <w:u w:val="single"/>
        </w:rPr>
        <w:t xml:space="preserve">               </w:t>
      </w:r>
      <w:r>
        <w:rPr>
          <w:rFonts w:hint="eastAsia"/>
          <w:color w:val="auto"/>
          <w:sz w:val="24"/>
        </w:rPr>
        <w:t xml:space="preserve"> （盖章或签字）</w:t>
      </w:r>
    </w:p>
    <w:p>
      <w:pPr>
        <w:spacing w:before="100" w:beforeAutospacing="1" w:after="100" w:afterAutospacing="1" w:line="480" w:lineRule="exact"/>
        <w:rPr>
          <w:color w:val="auto"/>
          <w:sz w:val="24"/>
        </w:rPr>
      </w:pPr>
      <w:r>
        <w:rPr>
          <w:rFonts w:hint="eastAsia"/>
          <w:color w:val="auto"/>
          <w:sz w:val="24"/>
        </w:rPr>
        <w:t>投标单位：</w:t>
      </w:r>
      <w:r>
        <w:rPr>
          <w:rFonts w:hint="eastAsia"/>
          <w:color w:val="auto"/>
          <w:u w:val="single"/>
        </w:rPr>
        <w:t xml:space="preserve">               </w:t>
      </w:r>
      <w:r>
        <w:rPr>
          <w:rFonts w:hint="eastAsia"/>
          <w:color w:val="auto"/>
          <w:sz w:val="24"/>
        </w:rPr>
        <w:t xml:space="preserve">   （公章）</w:t>
      </w:r>
    </w:p>
    <w:p>
      <w:pPr>
        <w:pStyle w:val="21"/>
        <w:spacing w:line="300" w:lineRule="auto"/>
        <w:rPr>
          <w:rFonts w:hAnsi="宋体"/>
          <w:b/>
          <w:color w:val="auto"/>
          <w:sz w:val="36"/>
          <w:szCs w:val="36"/>
        </w:rPr>
      </w:pPr>
    </w:p>
    <w:p>
      <w:pPr>
        <w:spacing w:line="480" w:lineRule="exact"/>
        <w:jc w:val="right"/>
        <w:rPr>
          <w:color w:val="auto"/>
          <w:sz w:val="24"/>
        </w:rPr>
      </w:pPr>
      <w:r>
        <w:rPr>
          <w:rFonts w:hint="eastAsia"/>
          <w:color w:val="auto"/>
          <w:sz w:val="24"/>
        </w:rPr>
        <w:t>年    月    日</w:t>
      </w:r>
    </w:p>
    <w:p>
      <w:pPr>
        <w:keepNext/>
        <w:keepLines/>
        <w:widowControl/>
        <w:spacing w:before="260" w:after="260" w:line="480" w:lineRule="exact"/>
        <w:jc w:val="center"/>
        <w:outlineLvl w:val="1"/>
        <w:rPr>
          <w:rFonts w:ascii="Arial" w:hAnsi="Arial" w:eastAsia="黑体"/>
          <w:b/>
          <w:bCs/>
          <w:color w:val="auto"/>
          <w:sz w:val="32"/>
          <w:szCs w:val="32"/>
        </w:rPr>
      </w:pPr>
      <w:bookmarkStart w:id="60" w:name="_Toc130206670"/>
      <w:bookmarkStart w:id="61" w:name="_Toc126251020"/>
      <w:bookmarkStart w:id="62" w:name="_Toc120519634"/>
      <w:r>
        <w:rPr>
          <w:rFonts w:ascii="Arial" w:hAnsi="Arial" w:eastAsia="黑体"/>
          <w:b/>
          <w:bCs/>
          <w:color w:val="auto"/>
          <w:sz w:val="32"/>
          <w:szCs w:val="32"/>
        </w:rPr>
        <w:t>（十</w:t>
      </w:r>
      <w:r>
        <w:rPr>
          <w:rFonts w:hint="eastAsia" w:ascii="Arial" w:hAnsi="Arial" w:eastAsia="黑体"/>
          <w:b/>
          <w:bCs/>
          <w:color w:val="auto"/>
          <w:sz w:val="32"/>
          <w:szCs w:val="32"/>
        </w:rPr>
        <w:t>五</w:t>
      </w:r>
      <w:r>
        <w:rPr>
          <w:rFonts w:ascii="Arial" w:hAnsi="Arial" w:eastAsia="黑体"/>
          <w:b/>
          <w:bCs/>
          <w:color w:val="auto"/>
          <w:sz w:val="32"/>
          <w:szCs w:val="32"/>
        </w:rPr>
        <w:t>）项目业绩汇总表</w:t>
      </w:r>
      <w:bookmarkEnd w:id="60"/>
      <w:bookmarkEnd w:id="61"/>
    </w:p>
    <w:tbl>
      <w:tblPr>
        <w:tblStyle w:val="39"/>
        <w:tblW w:w="0" w:type="auto"/>
        <w:jc w:val="center"/>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108" w:type="dxa"/>
          <w:bottom w:w="0" w:type="dxa"/>
          <w:right w:w="108" w:type="dxa"/>
        </w:tblCellMar>
      </w:tblPr>
      <w:tblGrid>
        <w:gridCol w:w="900"/>
        <w:gridCol w:w="1370"/>
        <w:gridCol w:w="1505"/>
        <w:gridCol w:w="2046"/>
        <w:gridCol w:w="1800"/>
        <w:gridCol w:w="1665"/>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3" w:hRule="atLeast"/>
          <w:jc w:val="center"/>
        </w:trPr>
        <w:tc>
          <w:tcPr>
            <w:tcW w:w="900" w:type="dxa"/>
            <w:noWrap w:val="0"/>
            <w:tcMar>
              <w:left w:w="108" w:type="dxa"/>
            </w:tcMar>
            <w:vAlign w:val="center"/>
          </w:tcPr>
          <w:p>
            <w:pPr>
              <w:widowControl/>
              <w:jc w:val="center"/>
              <w:rPr>
                <w:rFonts w:ascii="宋体"/>
                <w:color w:val="auto"/>
                <w:sz w:val="24"/>
                <w:szCs w:val="24"/>
              </w:rPr>
            </w:pPr>
            <w:r>
              <w:rPr>
                <w:rFonts w:ascii="宋体" w:hAnsi="宋体"/>
                <w:color w:val="auto"/>
                <w:sz w:val="24"/>
                <w:szCs w:val="24"/>
              </w:rPr>
              <w:t>序号</w:t>
            </w:r>
          </w:p>
        </w:tc>
        <w:tc>
          <w:tcPr>
            <w:tcW w:w="1370" w:type="dxa"/>
            <w:noWrap w:val="0"/>
            <w:tcMar>
              <w:left w:w="108" w:type="dxa"/>
            </w:tcMar>
            <w:vAlign w:val="center"/>
          </w:tcPr>
          <w:p>
            <w:pPr>
              <w:widowControl/>
              <w:jc w:val="center"/>
              <w:rPr>
                <w:rFonts w:ascii="宋体"/>
                <w:color w:val="auto"/>
                <w:sz w:val="24"/>
                <w:szCs w:val="24"/>
              </w:rPr>
            </w:pPr>
            <w:r>
              <w:rPr>
                <w:rFonts w:ascii="宋体" w:hAnsi="宋体"/>
                <w:color w:val="auto"/>
                <w:sz w:val="24"/>
                <w:szCs w:val="24"/>
              </w:rPr>
              <w:t>项目名称</w:t>
            </w:r>
          </w:p>
        </w:tc>
        <w:tc>
          <w:tcPr>
            <w:tcW w:w="1505" w:type="dxa"/>
            <w:noWrap w:val="0"/>
            <w:tcMar>
              <w:left w:w="108" w:type="dxa"/>
            </w:tcMar>
            <w:vAlign w:val="center"/>
          </w:tcPr>
          <w:p>
            <w:pPr>
              <w:widowControl/>
              <w:jc w:val="center"/>
              <w:rPr>
                <w:rFonts w:ascii="宋体"/>
                <w:color w:val="auto"/>
                <w:sz w:val="24"/>
                <w:szCs w:val="24"/>
              </w:rPr>
            </w:pPr>
            <w:r>
              <w:rPr>
                <w:rFonts w:ascii="宋体" w:hAnsi="宋体"/>
                <w:color w:val="auto"/>
                <w:sz w:val="24"/>
                <w:szCs w:val="24"/>
              </w:rPr>
              <w:t>项目内容</w:t>
            </w:r>
          </w:p>
        </w:tc>
        <w:tc>
          <w:tcPr>
            <w:tcW w:w="2046" w:type="dxa"/>
            <w:tcBorders>
              <w:right w:val="single" w:color="000000" w:sz="4" w:space="0"/>
            </w:tcBorders>
            <w:noWrap w:val="0"/>
            <w:tcMar>
              <w:left w:w="108" w:type="dxa"/>
            </w:tcMar>
            <w:vAlign w:val="center"/>
          </w:tcPr>
          <w:p>
            <w:pPr>
              <w:widowControl/>
              <w:jc w:val="center"/>
              <w:rPr>
                <w:rFonts w:ascii="宋体"/>
                <w:color w:val="auto"/>
                <w:sz w:val="24"/>
                <w:szCs w:val="24"/>
              </w:rPr>
            </w:pPr>
            <w:r>
              <w:rPr>
                <w:rFonts w:ascii="宋体" w:hAnsi="宋体"/>
                <w:color w:val="auto"/>
                <w:sz w:val="24"/>
                <w:szCs w:val="24"/>
              </w:rPr>
              <w:t>项目金额（万元）</w:t>
            </w:r>
          </w:p>
        </w:tc>
        <w:tc>
          <w:tcPr>
            <w:tcW w:w="1800" w:type="dxa"/>
            <w:tcBorders>
              <w:left w:val="single" w:color="000000" w:sz="4" w:space="0"/>
            </w:tcBorders>
            <w:noWrap w:val="0"/>
            <w:vAlign w:val="center"/>
          </w:tcPr>
          <w:p>
            <w:pPr>
              <w:widowControl/>
              <w:jc w:val="center"/>
              <w:rPr>
                <w:rFonts w:ascii="宋体"/>
                <w:color w:val="auto"/>
                <w:sz w:val="24"/>
                <w:szCs w:val="24"/>
              </w:rPr>
            </w:pPr>
            <w:r>
              <w:rPr>
                <w:rFonts w:ascii="宋体"/>
                <w:color w:val="auto"/>
                <w:sz w:val="24"/>
                <w:szCs w:val="24"/>
              </w:rPr>
              <w:t>合同签订日期</w:t>
            </w:r>
          </w:p>
        </w:tc>
        <w:tc>
          <w:tcPr>
            <w:tcW w:w="1665" w:type="dxa"/>
            <w:tcBorders>
              <w:left w:val="single" w:color="000000" w:sz="4" w:space="0"/>
            </w:tcBorders>
            <w:noWrap w:val="0"/>
            <w:vAlign w:val="center"/>
          </w:tcPr>
          <w:p>
            <w:pPr>
              <w:widowControl/>
              <w:jc w:val="center"/>
              <w:rPr>
                <w:rFonts w:ascii="宋体"/>
                <w:color w:val="auto"/>
                <w:sz w:val="24"/>
                <w:szCs w:val="24"/>
              </w:rPr>
            </w:pPr>
            <w:r>
              <w:rPr>
                <w:rFonts w:ascii="宋体"/>
                <w:color w:val="auto"/>
                <w:sz w:val="24"/>
                <w:szCs w:val="24"/>
              </w:rPr>
              <w:t>业主联系方式</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3" w:hRule="atLeast"/>
          <w:jc w:val="center"/>
        </w:trPr>
        <w:tc>
          <w:tcPr>
            <w:tcW w:w="900" w:type="dxa"/>
            <w:noWrap w:val="0"/>
            <w:tcMar>
              <w:left w:w="108" w:type="dxa"/>
            </w:tcMar>
            <w:vAlign w:val="center"/>
          </w:tcPr>
          <w:p>
            <w:pPr>
              <w:widowControl/>
              <w:spacing w:line="360" w:lineRule="auto"/>
              <w:jc w:val="center"/>
              <w:rPr>
                <w:rFonts w:ascii="宋体" w:hAnsi="宋体"/>
                <w:color w:val="auto"/>
                <w:sz w:val="24"/>
                <w:szCs w:val="24"/>
              </w:rPr>
            </w:pPr>
            <w:r>
              <w:rPr>
                <w:rFonts w:ascii="宋体" w:hAnsi="宋体"/>
                <w:color w:val="auto"/>
                <w:sz w:val="24"/>
                <w:szCs w:val="24"/>
              </w:rPr>
              <w:t>1</w:t>
            </w:r>
          </w:p>
        </w:tc>
        <w:tc>
          <w:tcPr>
            <w:tcW w:w="1370" w:type="dxa"/>
            <w:noWrap w:val="0"/>
            <w:tcMar>
              <w:left w:w="108" w:type="dxa"/>
            </w:tcMar>
            <w:vAlign w:val="center"/>
          </w:tcPr>
          <w:p>
            <w:pPr>
              <w:widowControl/>
              <w:spacing w:line="360" w:lineRule="auto"/>
              <w:jc w:val="center"/>
              <w:rPr>
                <w:rFonts w:ascii="宋体" w:hAnsi="宋体"/>
                <w:color w:val="auto"/>
                <w:sz w:val="24"/>
                <w:szCs w:val="24"/>
              </w:rPr>
            </w:pPr>
          </w:p>
        </w:tc>
        <w:tc>
          <w:tcPr>
            <w:tcW w:w="1505" w:type="dxa"/>
            <w:noWrap w:val="0"/>
            <w:tcMar>
              <w:left w:w="108" w:type="dxa"/>
            </w:tcMar>
            <w:vAlign w:val="center"/>
          </w:tcPr>
          <w:p>
            <w:pPr>
              <w:widowControl/>
              <w:spacing w:line="360" w:lineRule="auto"/>
              <w:jc w:val="center"/>
              <w:rPr>
                <w:rFonts w:ascii="宋体" w:hAnsi="宋体"/>
                <w:color w:val="auto"/>
                <w:sz w:val="24"/>
                <w:szCs w:val="24"/>
              </w:rPr>
            </w:pPr>
          </w:p>
        </w:tc>
        <w:tc>
          <w:tcPr>
            <w:tcW w:w="2046" w:type="dxa"/>
            <w:tcBorders>
              <w:right w:val="single" w:color="000000" w:sz="4" w:space="0"/>
            </w:tcBorders>
            <w:noWrap w:val="0"/>
            <w:tcMar>
              <w:left w:w="108" w:type="dxa"/>
            </w:tcMar>
            <w:vAlign w:val="center"/>
          </w:tcPr>
          <w:p>
            <w:pPr>
              <w:widowControl/>
              <w:spacing w:line="360" w:lineRule="auto"/>
              <w:jc w:val="center"/>
              <w:rPr>
                <w:rFonts w:ascii="宋体" w:hAnsi="宋体"/>
                <w:color w:val="auto"/>
                <w:sz w:val="24"/>
                <w:szCs w:val="24"/>
              </w:rPr>
            </w:pPr>
          </w:p>
        </w:tc>
        <w:tc>
          <w:tcPr>
            <w:tcW w:w="1800" w:type="dxa"/>
            <w:tcBorders>
              <w:left w:val="single" w:color="000000" w:sz="4" w:space="0"/>
            </w:tcBorders>
            <w:noWrap w:val="0"/>
            <w:vAlign w:val="center"/>
          </w:tcPr>
          <w:p>
            <w:pPr>
              <w:widowControl/>
              <w:spacing w:line="360" w:lineRule="auto"/>
              <w:jc w:val="center"/>
              <w:rPr>
                <w:rFonts w:ascii="宋体" w:hAnsi="宋体"/>
                <w:color w:val="auto"/>
                <w:sz w:val="24"/>
                <w:szCs w:val="24"/>
              </w:rPr>
            </w:pPr>
          </w:p>
        </w:tc>
        <w:tc>
          <w:tcPr>
            <w:tcW w:w="1665" w:type="dxa"/>
            <w:tcBorders>
              <w:left w:val="single" w:color="000000" w:sz="4" w:space="0"/>
            </w:tcBorders>
            <w:noWrap w:val="0"/>
            <w:vAlign w:val="center"/>
          </w:tcPr>
          <w:p>
            <w:pPr>
              <w:widowControl/>
              <w:spacing w:line="360" w:lineRule="auto"/>
              <w:jc w:val="center"/>
              <w:rPr>
                <w:rFonts w:ascii="宋体" w:hAnsi="宋体"/>
                <w:color w:val="auto"/>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3" w:hRule="atLeast"/>
          <w:jc w:val="center"/>
        </w:trPr>
        <w:tc>
          <w:tcPr>
            <w:tcW w:w="900" w:type="dxa"/>
            <w:noWrap w:val="0"/>
            <w:tcMar>
              <w:left w:w="108" w:type="dxa"/>
            </w:tcMar>
            <w:vAlign w:val="center"/>
          </w:tcPr>
          <w:p>
            <w:pPr>
              <w:widowControl/>
              <w:spacing w:line="360" w:lineRule="auto"/>
              <w:jc w:val="center"/>
              <w:rPr>
                <w:rFonts w:ascii="宋体" w:hAnsi="宋体"/>
                <w:color w:val="auto"/>
                <w:sz w:val="24"/>
                <w:szCs w:val="24"/>
              </w:rPr>
            </w:pPr>
            <w:r>
              <w:rPr>
                <w:rFonts w:ascii="宋体" w:hAnsi="宋体"/>
                <w:color w:val="auto"/>
                <w:sz w:val="24"/>
                <w:szCs w:val="24"/>
              </w:rPr>
              <w:t>2</w:t>
            </w:r>
          </w:p>
        </w:tc>
        <w:tc>
          <w:tcPr>
            <w:tcW w:w="1370" w:type="dxa"/>
            <w:noWrap w:val="0"/>
            <w:tcMar>
              <w:left w:w="108" w:type="dxa"/>
            </w:tcMar>
            <w:vAlign w:val="center"/>
          </w:tcPr>
          <w:p>
            <w:pPr>
              <w:widowControl/>
              <w:spacing w:line="360" w:lineRule="auto"/>
              <w:jc w:val="center"/>
              <w:rPr>
                <w:rFonts w:ascii="宋体" w:hAnsi="宋体"/>
                <w:color w:val="auto"/>
                <w:sz w:val="24"/>
                <w:szCs w:val="24"/>
              </w:rPr>
            </w:pPr>
          </w:p>
        </w:tc>
        <w:tc>
          <w:tcPr>
            <w:tcW w:w="1505" w:type="dxa"/>
            <w:noWrap w:val="0"/>
            <w:tcMar>
              <w:left w:w="108" w:type="dxa"/>
            </w:tcMar>
            <w:vAlign w:val="center"/>
          </w:tcPr>
          <w:p>
            <w:pPr>
              <w:widowControl/>
              <w:spacing w:line="360" w:lineRule="auto"/>
              <w:jc w:val="center"/>
              <w:rPr>
                <w:rFonts w:ascii="宋体" w:hAnsi="宋体"/>
                <w:color w:val="auto"/>
                <w:sz w:val="24"/>
                <w:szCs w:val="24"/>
              </w:rPr>
            </w:pPr>
          </w:p>
        </w:tc>
        <w:tc>
          <w:tcPr>
            <w:tcW w:w="2046" w:type="dxa"/>
            <w:tcBorders>
              <w:right w:val="single" w:color="000000" w:sz="4" w:space="0"/>
            </w:tcBorders>
            <w:noWrap w:val="0"/>
            <w:tcMar>
              <w:left w:w="108" w:type="dxa"/>
            </w:tcMar>
            <w:vAlign w:val="center"/>
          </w:tcPr>
          <w:p>
            <w:pPr>
              <w:widowControl/>
              <w:spacing w:line="360" w:lineRule="auto"/>
              <w:jc w:val="center"/>
              <w:rPr>
                <w:rFonts w:ascii="宋体" w:hAnsi="宋体"/>
                <w:color w:val="auto"/>
                <w:sz w:val="24"/>
                <w:szCs w:val="24"/>
              </w:rPr>
            </w:pPr>
          </w:p>
        </w:tc>
        <w:tc>
          <w:tcPr>
            <w:tcW w:w="1800" w:type="dxa"/>
            <w:tcBorders>
              <w:left w:val="single" w:color="000000" w:sz="4" w:space="0"/>
            </w:tcBorders>
            <w:noWrap w:val="0"/>
            <w:vAlign w:val="center"/>
          </w:tcPr>
          <w:p>
            <w:pPr>
              <w:widowControl/>
              <w:spacing w:line="360" w:lineRule="auto"/>
              <w:jc w:val="center"/>
              <w:rPr>
                <w:rFonts w:ascii="宋体" w:hAnsi="宋体"/>
                <w:color w:val="auto"/>
                <w:sz w:val="24"/>
                <w:szCs w:val="24"/>
              </w:rPr>
            </w:pPr>
          </w:p>
        </w:tc>
        <w:tc>
          <w:tcPr>
            <w:tcW w:w="1665" w:type="dxa"/>
            <w:tcBorders>
              <w:left w:val="single" w:color="000000" w:sz="4" w:space="0"/>
            </w:tcBorders>
            <w:noWrap w:val="0"/>
            <w:vAlign w:val="center"/>
          </w:tcPr>
          <w:p>
            <w:pPr>
              <w:widowControl/>
              <w:spacing w:line="360" w:lineRule="auto"/>
              <w:jc w:val="center"/>
              <w:rPr>
                <w:rFonts w:ascii="宋体" w:hAnsi="宋体"/>
                <w:color w:val="auto"/>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3" w:hRule="atLeast"/>
          <w:jc w:val="center"/>
        </w:trPr>
        <w:tc>
          <w:tcPr>
            <w:tcW w:w="900" w:type="dxa"/>
            <w:noWrap w:val="0"/>
            <w:tcMar>
              <w:left w:w="108" w:type="dxa"/>
            </w:tcMar>
            <w:vAlign w:val="center"/>
          </w:tcPr>
          <w:p>
            <w:pPr>
              <w:widowControl/>
              <w:spacing w:line="360" w:lineRule="auto"/>
              <w:jc w:val="center"/>
              <w:rPr>
                <w:rFonts w:ascii="宋体" w:hAnsi="宋体"/>
                <w:color w:val="auto"/>
                <w:sz w:val="24"/>
                <w:szCs w:val="24"/>
              </w:rPr>
            </w:pPr>
            <w:r>
              <w:rPr>
                <w:rFonts w:ascii="宋体" w:hAnsi="宋体"/>
                <w:color w:val="auto"/>
                <w:sz w:val="24"/>
                <w:szCs w:val="24"/>
              </w:rPr>
              <w:t>3</w:t>
            </w:r>
          </w:p>
        </w:tc>
        <w:tc>
          <w:tcPr>
            <w:tcW w:w="1370" w:type="dxa"/>
            <w:noWrap w:val="0"/>
            <w:tcMar>
              <w:left w:w="108" w:type="dxa"/>
            </w:tcMar>
            <w:vAlign w:val="center"/>
          </w:tcPr>
          <w:p>
            <w:pPr>
              <w:widowControl/>
              <w:spacing w:line="360" w:lineRule="auto"/>
              <w:jc w:val="center"/>
              <w:rPr>
                <w:rFonts w:ascii="宋体" w:hAnsi="宋体"/>
                <w:color w:val="auto"/>
                <w:sz w:val="24"/>
                <w:szCs w:val="24"/>
              </w:rPr>
            </w:pPr>
          </w:p>
        </w:tc>
        <w:tc>
          <w:tcPr>
            <w:tcW w:w="1505" w:type="dxa"/>
            <w:noWrap w:val="0"/>
            <w:tcMar>
              <w:left w:w="108" w:type="dxa"/>
            </w:tcMar>
            <w:vAlign w:val="center"/>
          </w:tcPr>
          <w:p>
            <w:pPr>
              <w:widowControl/>
              <w:spacing w:line="360" w:lineRule="auto"/>
              <w:jc w:val="center"/>
              <w:rPr>
                <w:rFonts w:ascii="宋体" w:hAnsi="宋体"/>
                <w:color w:val="auto"/>
                <w:sz w:val="24"/>
                <w:szCs w:val="24"/>
              </w:rPr>
            </w:pPr>
          </w:p>
        </w:tc>
        <w:tc>
          <w:tcPr>
            <w:tcW w:w="2046" w:type="dxa"/>
            <w:tcBorders>
              <w:right w:val="single" w:color="000000" w:sz="4" w:space="0"/>
            </w:tcBorders>
            <w:noWrap w:val="0"/>
            <w:tcMar>
              <w:left w:w="108" w:type="dxa"/>
            </w:tcMar>
            <w:vAlign w:val="center"/>
          </w:tcPr>
          <w:p>
            <w:pPr>
              <w:widowControl/>
              <w:spacing w:line="360" w:lineRule="auto"/>
              <w:jc w:val="center"/>
              <w:rPr>
                <w:rFonts w:ascii="宋体" w:hAnsi="宋体"/>
                <w:color w:val="auto"/>
                <w:sz w:val="24"/>
                <w:szCs w:val="24"/>
              </w:rPr>
            </w:pPr>
          </w:p>
        </w:tc>
        <w:tc>
          <w:tcPr>
            <w:tcW w:w="1800" w:type="dxa"/>
            <w:tcBorders>
              <w:left w:val="single" w:color="000000" w:sz="4" w:space="0"/>
            </w:tcBorders>
            <w:noWrap w:val="0"/>
            <w:vAlign w:val="center"/>
          </w:tcPr>
          <w:p>
            <w:pPr>
              <w:widowControl/>
              <w:spacing w:line="360" w:lineRule="auto"/>
              <w:jc w:val="center"/>
              <w:rPr>
                <w:rFonts w:ascii="宋体" w:hAnsi="宋体"/>
                <w:color w:val="auto"/>
                <w:sz w:val="24"/>
                <w:szCs w:val="24"/>
              </w:rPr>
            </w:pPr>
          </w:p>
        </w:tc>
        <w:tc>
          <w:tcPr>
            <w:tcW w:w="1665" w:type="dxa"/>
            <w:tcBorders>
              <w:left w:val="single" w:color="000000" w:sz="4" w:space="0"/>
            </w:tcBorders>
            <w:noWrap w:val="0"/>
            <w:vAlign w:val="center"/>
          </w:tcPr>
          <w:p>
            <w:pPr>
              <w:widowControl/>
              <w:spacing w:line="360" w:lineRule="auto"/>
              <w:jc w:val="center"/>
              <w:rPr>
                <w:rFonts w:ascii="宋体" w:hAnsi="宋体"/>
                <w:color w:val="auto"/>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3" w:hRule="atLeast"/>
          <w:jc w:val="center"/>
        </w:trPr>
        <w:tc>
          <w:tcPr>
            <w:tcW w:w="900" w:type="dxa"/>
            <w:noWrap w:val="0"/>
            <w:tcMar>
              <w:left w:w="108" w:type="dxa"/>
            </w:tcMar>
            <w:vAlign w:val="center"/>
          </w:tcPr>
          <w:p>
            <w:pPr>
              <w:widowControl/>
              <w:spacing w:line="360" w:lineRule="auto"/>
              <w:jc w:val="center"/>
              <w:rPr>
                <w:rFonts w:ascii="宋体" w:hAnsi="宋体"/>
                <w:color w:val="auto"/>
                <w:sz w:val="24"/>
                <w:szCs w:val="24"/>
              </w:rPr>
            </w:pPr>
            <w:r>
              <w:rPr>
                <w:rFonts w:ascii="宋体" w:hAnsi="宋体"/>
                <w:color w:val="auto"/>
                <w:sz w:val="24"/>
                <w:szCs w:val="24"/>
              </w:rPr>
              <w:t>...</w:t>
            </w:r>
          </w:p>
        </w:tc>
        <w:tc>
          <w:tcPr>
            <w:tcW w:w="1370" w:type="dxa"/>
            <w:noWrap w:val="0"/>
            <w:tcMar>
              <w:left w:w="108" w:type="dxa"/>
            </w:tcMar>
            <w:vAlign w:val="center"/>
          </w:tcPr>
          <w:p>
            <w:pPr>
              <w:widowControl/>
              <w:spacing w:line="360" w:lineRule="auto"/>
              <w:jc w:val="center"/>
              <w:rPr>
                <w:rFonts w:ascii="宋体" w:hAnsi="宋体"/>
                <w:color w:val="auto"/>
                <w:sz w:val="24"/>
                <w:szCs w:val="24"/>
              </w:rPr>
            </w:pPr>
            <w:r>
              <w:rPr>
                <w:rFonts w:ascii="宋体" w:hAnsi="宋体"/>
                <w:color w:val="auto"/>
                <w:sz w:val="24"/>
                <w:szCs w:val="24"/>
              </w:rPr>
              <w:t>...</w:t>
            </w:r>
          </w:p>
        </w:tc>
        <w:tc>
          <w:tcPr>
            <w:tcW w:w="1505" w:type="dxa"/>
            <w:noWrap w:val="0"/>
            <w:tcMar>
              <w:left w:w="108" w:type="dxa"/>
            </w:tcMar>
            <w:vAlign w:val="center"/>
          </w:tcPr>
          <w:p>
            <w:pPr>
              <w:widowControl/>
              <w:spacing w:line="360" w:lineRule="auto"/>
              <w:jc w:val="center"/>
              <w:rPr>
                <w:rFonts w:ascii="宋体" w:hAnsi="宋体"/>
                <w:color w:val="auto"/>
                <w:sz w:val="24"/>
                <w:szCs w:val="24"/>
              </w:rPr>
            </w:pPr>
            <w:r>
              <w:rPr>
                <w:rFonts w:ascii="宋体" w:hAnsi="宋体"/>
                <w:color w:val="auto"/>
                <w:sz w:val="24"/>
                <w:szCs w:val="24"/>
              </w:rPr>
              <w:t>...</w:t>
            </w:r>
          </w:p>
        </w:tc>
        <w:tc>
          <w:tcPr>
            <w:tcW w:w="2046" w:type="dxa"/>
            <w:tcBorders>
              <w:right w:val="single" w:color="000000" w:sz="4" w:space="0"/>
            </w:tcBorders>
            <w:noWrap w:val="0"/>
            <w:tcMar>
              <w:left w:w="108" w:type="dxa"/>
            </w:tcMar>
            <w:vAlign w:val="center"/>
          </w:tcPr>
          <w:p>
            <w:pPr>
              <w:widowControl/>
              <w:spacing w:line="360" w:lineRule="auto"/>
              <w:jc w:val="center"/>
              <w:rPr>
                <w:rFonts w:ascii="宋体" w:hAnsi="宋体"/>
                <w:color w:val="auto"/>
                <w:sz w:val="24"/>
                <w:szCs w:val="24"/>
              </w:rPr>
            </w:pPr>
            <w:r>
              <w:rPr>
                <w:rFonts w:ascii="宋体" w:hAnsi="宋体"/>
                <w:color w:val="auto"/>
                <w:sz w:val="24"/>
                <w:szCs w:val="24"/>
              </w:rPr>
              <w:t>...</w:t>
            </w:r>
          </w:p>
        </w:tc>
        <w:tc>
          <w:tcPr>
            <w:tcW w:w="1800" w:type="dxa"/>
            <w:tcBorders>
              <w:left w:val="single" w:color="000000" w:sz="4" w:space="0"/>
            </w:tcBorders>
            <w:noWrap w:val="0"/>
            <w:vAlign w:val="center"/>
          </w:tcPr>
          <w:p>
            <w:pPr>
              <w:widowControl/>
              <w:spacing w:line="360" w:lineRule="auto"/>
              <w:jc w:val="center"/>
              <w:rPr>
                <w:rFonts w:ascii="宋体" w:hAnsi="宋体"/>
                <w:color w:val="auto"/>
                <w:sz w:val="24"/>
                <w:szCs w:val="24"/>
              </w:rPr>
            </w:pPr>
            <w:r>
              <w:rPr>
                <w:rFonts w:ascii="宋体" w:hAnsi="宋体"/>
                <w:color w:val="auto"/>
                <w:sz w:val="24"/>
                <w:szCs w:val="24"/>
              </w:rPr>
              <w:t>...</w:t>
            </w:r>
          </w:p>
        </w:tc>
        <w:tc>
          <w:tcPr>
            <w:tcW w:w="1665" w:type="dxa"/>
            <w:tcBorders>
              <w:left w:val="single" w:color="000000" w:sz="4" w:space="0"/>
            </w:tcBorders>
            <w:noWrap w:val="0"/>
            <w:vAlign w:val="center"/>
          </w:tcPr>
          <w:p>
            <w:pPr>
              <w:widowControl/>
              <w:spacing w:line="360" w:lineRule="auto"/>
              <w:jc w:val="center"/>
              <w:rPr>
                <w:rFonts w:ascii="宋体" w:hAnsi="宋体"/>
                <w:color w:val="auto"/>
                <w:sz w:val="24"/>
                <w:szCs w:val="24"/>
              </w:rPr>
            </w:pPr>
          </w:p>
        </w:tc>
      </w:tr>
    </w:tbl>
    <w:p>
      <w:pPr>
        <w:widowControl/>
        <w:spacing w:line="520" w:lineRule="exact"/>
        <w:ind w:left="2"/>
        <w:jc w:val="left"/>
        <w:rPr>
          <w:rFonts w:ascii="宋体" w:hAnsi="宋体"/>
          <w:color w:val="auto"/>
          <w:sz w:val="24"/>
        </w:rPr>
      </w:pPr>
      <w:r>
        <w:rPr>
          <w:rFonts w:ascii="宋体" w:hAnsi="宋体"/>
          <w:color w:val="auto"/>
          <w:sz w:val="24"/>
        </w:rPr>
        <w:t>注：</w:t>
      </w:r>
      <w:r>
        <w:rPr>
          <w:rFonts w:ascii="宋体" w:hAnsi="宋体"/>
          <w:color w:val="auto"/>
          <w:sz w:val="24"/>
          <w:u w:val="single"/>
        </w:rPr>
        <w:t>此表不够可复制和放大</w:t>
      </w:r>
      <w:r>
        <w:rPr>
          <w:rFonts w:ascii="宋体" w:hAnsi="宋体"/>
          <w:color w:val="auto"/>
          <w:sz w:val="24"/>
        </w:rPr>
        <w:t>。</w:t>
      </w:r>
    </w:p>
    <w:p>
      <w:pPr>
        <w:widowControl/>
        <w:spacing w:line="360" w:lineRule="auto"/>
        <w:jc w:val="left"/>
        <w:rPr>
          <w:color w:val="auto"/>
          <w:szCs w:val="21"/>
        </w:rPr>
      </w:pPr>
    </w:p>
    <w:p>
      <w:pPr>
        <w:widowControl/>
        <w:ind w:firstLine="1800"/>
        <w:jc w:val="left"/>
        <w:rPr>
          <w:rFonts w:ascii="宋体"/>
          <w:color w:val="auto"/>
          <w:sz w:val="24"/>
          <w:szCs w:val="24"/>
        </w:rPr>
      </w:pPr>
    </w:p>
    <w:p>
      <w:pPr>
        <w:widowControl/>
        <w:jc w:val="left"/>
        <w:rPr>
          <w:rFonts w:ascii="宋体"/>
          <w:color w:val="auto"/>
          <w:sz w:val="24"/>
          <w:szCs w:val="24"/>
        </w:rPr>
      </w:pPr>
      <w:r>
        <w:rPr>
          <w:rFonts w:ascii="宋体" w:hAnsi="宋体"/>
          <w:color w:val="auto"/>
          <w:sz w:val="24"/>
          <w:szCs w:val="24"/>
        </w:rPr>
        <w:t>投标单位(盖章)：</w:t>
      </w:r>
    </w:p>
    <w:p>
      <w:pPr>
        <w:widowControl/>
        <w:ind w:firstLine="1800"/>
        <w:jc w:val="left"/>
        <w:rPr>
          <w:rFonts w:ascii="宋体"/>
          <w:color w:val="auto"/>
          <w:sz w:val="24"/>
          <w:szCs w:val="24"/>
        </w:rPr>
      </w:pPr>
    </w:p>
    <w:p>
      <w:pPr>
        <w:widowControl/>
        <w:ind w:firstLine="1800"/>
        <w:jc w:val="left"/>
        <w:rPr>
          <w:rFonts w:ascii="宋体"/>
          <w:color w:val="auto"/>
          <w:sz w:val="24"/>
          <w:szCs w:val="24"/>
        </w:rPr>
      </w:pPr>
    </w:p>
    <w:p>
      <w:pPr>
        <w:widowControl/>
        <w:jc w:val="left"/>
        <w:rPr>
          <w:rFonts w:ascii="宋体" w:hAnsi="宋体"/>
          <w:color w:val="auto"/>
          <w:sz w:val="24"/>
          <w:szCs w:val="24"/>
        </w:rPr>
      </w:pPr>
      <w:r>
        <w:rPr>
          <w:rFonts w:ascii="宋体" w:hAnsi="宋体"/>
          <w:color w:val="auto"/>
          <w:sz w:val="24"/>
          <w:szCs w:val="24"/>
        </w:rPr>
        <w:t>法定代表人/负责人（或委托代理人）：</w:t>
      </w:r>
      <w:r>
        <w:rPr>
          <w:rFonts w:ascii="宋体" w:hAnsi="宋体"/>
          <w:color w:val="auto"/>
          <w:sz w:val="24"/>
          <w:szCs w:val="24"/>
          <w:u w:val="single"/>
        </w:rPr>
        <w:t xml:space="preserve">                     </w:t>
      </w:r>
      <w:r>
        <w:rPr>
          <w:rFonts w:ascii="宋体" w:hAnsi="宋体"/>
          <w:color w:val="auto"/>
          <w:sz w:val="24"/>
          <w:szCs w:val="24"/>
        </w:rPr>
        <w:t xml:space="preserve">  (盖章或签字)</w:t>
      </w:r>
    </w:p>
    <w:p>
      <w:pPr>
        <w:widowControl/>
        <w:spacing w:line="460" w:lineRule="exact"/>
        <w:ind w:left="4901" w:right="-867" w:firstLine="560"/>
        <w:jc w:val="left"/>
        <w:rPr>
          <w:rFonts w:ascii="宋体"/>
          <w:color w:val="auto"/>
          <w:sz w:val="24"/>
          <w:szCs w:val="24"/>
          <w:u w:val="single"/>
        </w:rPr>
      </w:pPr>
    </w:p>
    <w:p>
      <w:pPr>
        <w:widowControl/>
        <w:spacing w:line="460" w:lineRule="exact"/>
        <w:ind w:right="-867"/>
        <w:jc w:val="left"/>
        <w:rPr>
          <w:rFonts w:ascii="宋体"/>
          <w:color w:val="auto"/>
          <w:sz w:val="24"/>
          <w:szCs w:val="24"/>
        </w:rPr>
      </w:pPr>
      <w:r>
        <w:rPr>
          <w:rFonts w:ascii="宋体" w:hAnsi="宋体"/>
          <w:color w:val="auto"/>
          <w:sz w:val="24"/>
          <w:szCs w:val="24"/>
        </w:rPr>
        <w:t>日  期： 年 月 日</w:t>
      </w:r>
    </w:p>
    <w:p>
      <w:pPr>
        <w:widowControl/>
        <w:spacing w:before="120" w:after="120" w:line="460" w:lineRule="exact"/>
        <w:jc w:val="center"/>
        <w:outlineLvl w:val="0"/>
        <w:rPr>
          <w:rFonts w:ascii="宋体" w:hAnsi="Courier New"/>
          <w:b/>
          <w:color w:val="auto"/>
          <w:sz w:val="32"/>
          <w:szCs w:val="32"/>
        </w:rPr>
      </w:pPr>
    </w:p>
    <w:p>
      <w:pPr>
        <w:widowControl/>
        <w:spacing w:before="120" w:after="120" w:line="460" w:lineRule="exact"/>
        <w:jc w:val="center"/>
        <w:outlineLvl w:val="0"/>
        <w:rPr>
          <w:rFonts w:ascii="宋体" w:hAnsi="Courier New"/>
          <w:b/>
          <w:color w:val="auto"/>
          <w:sz w:val="32"/>
          <w:szCs w:val="32"/>
        </w:rPr>
      </w:pPr>
    </w:p>
    <w:p>
      <w:pPr>
        <w:widowControl/>
        <w:spacing w:before="120" w:after="120" w:line="460" w:lineRule="exact"/>
        <w:jc w:val="center"/>
        <w:outlineLvl w:val="0"/>
        <w:rPr>
          <w:rFonts w:ascii="宋体" w:hAnsi="Courier New"/>
          <w:b/>
          <w:color w:val="auto"/>
          <w:sz w:val="32"/>
          <w:szCs w:val="32"/>
        </w:rPr>
      </w:pPr>
    </w:p>
    <w:p>
      <w:pPr>
        <w:widowControl/>
        <w:spacing w:before="120" w:after="120" w:line="460" w:lineRule="exact"/>
        <w:jc w:val="center"/>
        <w:outlineLvl w:val="0"/>
        <w:rPr>
          <w:rFonts w:ascii="宋体" w:hAnsi="Courier New"/>
          <w:b/>
          <w:color w:val="auto"/>
          <w:sz w:val="32"/>
          <w:szCs w:val="32"/>
        </w:rPr>
      </w:pPr>
    </w:p>
    <w:p>
      <w:pPr>
        <w:widowControl/>
        <w:spacing w:before="120" w:after="120" w:line="460" w:lineRule="exact"/>
        <w:jc w:val="center"/>
        <w:outlineLvl w:val="0"/>
        <w:rPr>
          <w:rFonts w:ascii="宋体" w:hAnsi="Courier New"/>
          <w:b/>
          <w:color w:val="auto"/>
          <w:sz w:val="32"/>
          <w:szCs w:val="32"/>
        </w:rPr>
      </w:pPr>
    </w:p>
    <w:p>
      <w:pPr>
        <w:widowControl/>
        <w:spacing w:before="120" w:after="120" w:line="460" w:lineRule="exact"/>
        <w:jc w:val="center"/>
        <w:outlineLvl w:val="0"/>
        <w:rPr>
          <w:rFonts w:ascii="宋体" w:hAnsi="Courier New"/>
          <w:b/>
          <w:color w:val="auto"/>
          <w:sz w:val="32"/>
          <w:szCs w:val="32"/>
        </w:rPr>
      </w:pPr>
    </w:p>
    <w:p>
      <w:pPr>
        <w:widowControl/>
        <w:spacing w:before="120" w:after="120" w:line="460" w:lineRule="exact"/>
        <w:jc w:val="center"/>
        <w:outlineLvl w:val="0"/>
        <w:rPr>
          <w:rFonts w:ascii="宋体" w:hAnsi="Courier New"/>
          <w:b/>
          <w:color w:val="auto"/>
          <w:sz w:val="32"/>
          <w:szCs w:val="32"/>
        </w:rPr>
      </w:pPr>
    </w:p>
    <w:p>
      <w:pPr>
        <w:widowControl/>
        <w:spacing w:before="120" w:after="120" w:line="460" w:lineRule="exact"/>
        <w:jc w:val="center"/>
        <w:outlineLvl w:val="0"/>
        <w:rPr>
          <w:rFonts w:ascii="宋体" w:hAnsi="Courier New"/>
          <w:b/>
          <w:color w:val="auto"/>
          <w:sz w:val="32"/>
          <w:szCs w:val="32"/>
        </w:rPr>
      </w:pPr>
    </w:p>
    <w:p>
      <w:pPr>
        <w:widowControl/>
        <w:spacing w:before="120" w:after="120" w:line="460" w:lineRule="exact"/>
        <w:jc w:val="center"/>
        <w:outlineLvl w:val="0"/>
        <w:rPr>
          <w:rFonts w:ascii="宋体" w:hAnsi="Courier New"/>
          <w:b/>
          <w:color w:val="auto"/>
          <w:sz w:val="32"/>
          <w:szCs w:val="32"/>
        </w:rPr>
      </w:pPr>
    </w:p>
    <w:p>
      <w:pPr>
        <w:widowControl/>
        <w:spacing w:before="120" w:after="120" w:line="460" w:lineRule="exact"/>
        <w:jc w:val="center"/>
        <w:outlineLvl w:val="0"/>
        <w:rPr>
          <w:rFonts w:ascii="宋体" w:hAnsi="Courier New"/>
          <w:b/>
          <w:color w:val="auto"/>
          <w:sz w:val="32"/>
          <w:szCs w:val="32"/>
        </w:rPr>
      </w:pPr>
    </w:p>
    <w:p>
      <w:pPr>
        <w:widowControl/>
        <w:spacing w:before="120" w:after="120" w:line="460" w:lineRule="exact"/>
        <w:jc w:val="center"/>
        <w:outlineLvl w:val="0"/>
        <w:rPr>
          <w:rFonts w:ascii="宋体" w:hAnsi="Courier New"/>
          <w:b/>
          <w:color w:val="auto"/>
          <w:sz w:val="32"/>
          <w:szCs w:val="32"/>
        </w:rPr>
      </w:pPr>
    </w:p>
    <w:p>
      <w:pPr>
        <w:numPr>
          <w:ilvl w:val="0"/>
          <w:numId w:val="7"/>
        </w:numPr>
        <w:spacing w:before="120" w:after="120" w:line="460" w:lineRule="exact"/>
        <w:jc w:val="center"/>
        <w:outlineLvl w:val="0"/>
        <w:rPr>
          <w:rFonts w:hint="eastAsia" w:ascii="宋体" w:hAnsi="Courier New"/>
          <w:b/>
          <w:color w:val="auto"/>
          <w:sz w:val="32"/>
          <w:szCs w:val="32"/>
        </w:rPr>
      </w:pPr>
      <w:bookmarkStart w:id="63" w:name="_Toc130206672"/>
      <w:r>
        <w:rPr>
          <w:rFonts w:hint="eastAsia" w:ascii="宋体" w:hAnsi="Courier New"/>
          <w:b/>
          <w:color w:val="auto"/>
          <w:sz w:val="32"/>
          <w:szCs w:val="32"/>
        </w:rPr>
        <w:t>项目实施方案</w:t>
      </w:r>
    </w:p>
    <w:p>
      <w:pPr>
        <w:numPr>
          <w:ilvl w:val="0"/>
          <w:numId w:val="0"/>
        </w:numPr>
        <w:spacing w:before="120" w:after="120" w:line="460" w:lineRule="exact"/>
        <w:jc w:val="center"/>
        <w:outlineLvl w:val="0"/>
        <w:rPr>
          <w:rFonts w:ascii="宋体" w:hAnsi="宋体"/>
          <w:color w:val="auto"/>
          <w:sz w:val="24"/>
        </w:rPr>
      </w:pPr>
      <w:r>
        <w:rPr>
          <w:rFonts w:hint="eastAsia" w:ascii="宋体" w:hAnsi="宋体"/>
          <w:color w:val="auto"/>
          <w:sz w:val="24"/>
        </w:rPr>
        <w:t>(投标人根据评标细则中的相关要求自行编制，格式自制)</w:t>
      </w: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宋体"/>
          <w:color w:val="auto"/>
          <w:sz w:val="24"/>
        </w:rPr>
      </w:pPr>
    </w:p>
    <w:p>
      <w:pPr>
        <w:spacing w:before="120" w:after="120" w:line="460" w:lineRule="exact"/>
        <w:jc w:val="center"/>
        <w:outlineLvl w:val="0"/>
        <w:rPr>
          <w:rFonts w:ascii="宋体" w:hAnsi="Courier New"/>
          <w:b/>
          <w:color w:val="auto"/>
          <w:sz w:val="32"/>
          <w:szCs w:val="32"/>
        </w:rPr>
      </w:pPr>
    </w:p>
    <w:p>
      <w:pPr>
        <w:spacing w:before="120" w:after="120" w:line="460" w:lineRule="exact"/>
        <w:jc w:val="center"/>
        <w:outlineLvl w:val="0"/>
        <w:rPr>
          <w:rFonts w:ascii="宋体" w:hAnsi="Courier New"/>
          <w:b/>
          <w:color w:val="auto"/>
          <w:sz w:val="32"/>
          <w:szCs w:val="32"/>
        </w:rPr>
      </w:pPr>
      <w:r>
        <w:rPr>
          <w:rFonts w:hint="eastAsia" w:ascii="宋体" w:hAnsi="Courier New"/>
          <w:b/>
          <w:color w:val="auto"/>
          <w:sz w:val="32"/>
          <w:szCs w:val="32"/>
        </w:rPr>
        <w:t>（十七）</w:t>
      </w:r>
      <w:r>
        <w:rPr>
          <w:rFonts w:hint="eastAsia" w:ascii="宋体" w:hAnsi="Courier New"/>
          <w:b/>
          <w:color w:val="auto"/>
          <w:sz w:val="32"/>
          <w:szCs w:val="32"/>
          <w:lang w:eastAsia="zh-CN"/>
        </w:rPr>
        <w:t>售后</w:t>
      </w:r>
      <w:r>
        <w:rPr>
          <w:rFonts w:hint="eastAsia" w:ascii="宋体" w:hAnsi="Courier New"/>
          <w:b/>
          <w:color w:val="auto"/>
          <w:sz w:val="32"/>
          <w:szCs w:val="32"/>
        </w:rPr>
        <w:t>服务方案</w:t>
      </w:r>
      <w:bookmarkEnd w:id="62"/>
      <w:bookmarkEnd w:id="63"/>
    </w:p>
    <w:p>
      <w:pPr>
        <w:spacing w:line="480" w:lineRule="exact"/>
        <w:ind w:firstLine="435"/>
        <w:jc w:val="center"/>
        <w:rPr>
          <w:rFonts w:ascii="宋体" w:hAnsi="宋体"/>
          <w:color w:val="auto"/>
          <w:sz w:val="24"/>
        </w:rPr>
      </w:pPr>
      <w:r>
        <w:rPr>
          <w:rFonts w:hint="eastAsia" w:ascii="宋体" w:hAnsi="宋体"/>
          <w:color w:val="auto"/>
          <w:sz w:val="24"/>
        </w:rPr>
        <w:t>(投标人根据评标细则中的相关要求自行编制，格式自制)</w:t>
      </w:r>
    </w:p>
    <w:p>
      <w:pPr>
        <w:spacing w:before="100" w:beforeAutospacing="1" w:after="100" w:afterAutospacing="1" w:line="480" w:lineRule="exact"/>
        <w:ind w:firstLine="723"/>
        <w:jc w:val="right"/>
        <w:rPr>
          <w:rFonts w:ascii="宋体" w:hAnsi="宋体"/>
          <w:b/>
          <w:color w:val="auto"/>
          <w:sz w:val="36"/>
          <w:szCs w:val="36"/>
        </w:rPr>
      </w:pPr>
    </w:p>
    <w:sectPr>
      <w:footerReference r:id="rId6" w:type="default"/>
      <w:pgSz w:w="11906" w:h="16838"/>
      <w:pgMar w:top="1418" w:right="1418" w:bottom="1191" w:left="1276" w:header="851" w:footer="992" w:gutter="0"/>
      <w:pgNumType w:start="7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pPr>
    <w:r>
      <mc:AlternateContent>
        <mc:Choice Requires="wps">
          <w:drawing>
            <wp:anchor distT="0" distB="0" distL="114300" distR="114300" simplePos="0" relativeHeight="251659264" behindDoc="0" locked="0" layoutInCell="1" allowOverlap="1">
              <wp:simplePos x="0" y="0"/>
              <wp:positionH relativeFrom="margin">
                <wp:posOffset>2225675</wp:posOffset>
              </wp:positionH>
              <wp:positionV relativeFrom="paragraph">
                <wp:posOffset>-635</wp:posOffset>
              </wp:positionV>
              <wp:extent cx="1073150" cy="311150"/>
              <wp:effectExtent l="0" t="0" r="12700" b="12700"/>
              <wp:wrapNone/>
              <wp:docPr id="1" name="文本框 1"/>
              <wp:cNvGraphicFramePr/>
              <a:graphic xmlns:a="http://schemas.openxmlformats.org/drawingml/2006/main">
                <a:graphicData uri="http://schemas.microsoft.com/office/word/2010/wordprocessingShape">
                  <wps:wsp>
                    <wps:cNvSpPr txBox="1"/>
                    <wps:spPr bwMode="auto">
                      <a:xfrm>
                        <a:off x="0" y="0"/>
                        <a:ext cx="1073294" cy="311150"/>
                      </a:xfrm>
                      <a:prstGeom prst="rect">
                        <a:avLst/>
                      </a:prstGeom>
                      <a:noFill/>
                      <a:ln>
                        <a:noFill/>
                      </a:ln>
                    </wps:spPr>
                    <wps:txbx>
                      <w:txbxContent>
                        <w:p>
                          <w:pPr>
                            <w:pStyle w:val="26"/>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20</w:t>
                          </w:r>
                          <w:r>
                            <w:fldChar w:fldCharType="end"/>
                          </w:r>
                          <w:r>
                            <w:rPr>
                              <w:rFonts w:hint="eastAsia"/>
                            </w:rPr>
                            <w:t>页 共</w:t>
                          </w:r>
                          <w:r>
                            <w:rPr>
                              <w:rFonts w:hint="eastAsia"/>
                              <w:lang w:val="en-US" w:eastAsia="zh-CN"/>
                            </w:rPr>
                            <w:t>84</w:t>
                          </w:r>
                          <w:r>
                            <w:rPr>
                              <w:rFonts w:hint="eastAsia"/>
                            </w:rPr>
                            <w:t>页</w:t>
                          </w:r>
                        </w:p>
                        <w:p/>
                      </w:txbxContent>
                    </wps:txbx>
                    <wps:bodyPr wrap="square" lIns="0" tIns="0" rIns="0" bIns="0" upright="1">
                      <a:spAutoFit/>
                    </wps:bodyPr>
                  </wps:wsp>
                </a:graphicData>
              </a:graphic>
            </wp:anchor>
          </w:drawing>
        </mc:Choice>
        <mc:Fallback>
          <w:pict>
            <v:shape id="_x0000_s1026" o:spid="_x0000_s1026" o:spt="202" type="#_x0000_t202" style="position:absolute;left:0pt;margin-left:175.25pt;margin-top:-0.05pt;height:24.5pt;width:84.5pt;mso-position-horizontal-relative:margin;z-index:251659264;mso-width-relative:page;mso-height-relative:page;" filled="f" stroked="f" coordsize="21600,21600" o:gfxdata="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z5r+9UAAAAIAQAADwAAAAAAAAAB&#10;ACAAAAAiAAAAZHJzL2Rvd25yZXYueG1sUEsBAhQAFAAAAAgAh07iQP17O13aAQAAqAMAAA4AAAAA&#10;AAAAAQAgAAAAJAEAAGRycy9lMm9Eb2MueG1sUEsFBgAAAAAGAAYAWQEAAHAFAAAAAA==&#10;">
              <v:fill on="f" focussize="0,0"/>
              <v:stroke on="f"/>
              <v:imagedata o:title=""/>
              <o:lock v:ext="edit" aspectratio="f"/>
              <v:textbox inset="0mm,0mm,0mm,0mm" style="mso-fit-shape-to-text:t;">
                <w:txbxContent>
                  <w:p>
                    <w:pPr>
                      <w:pStyle w:val="26"/>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20</w:t>
                    </w:r>
                    <w:r>
                      <w:fldChar w:fldCharType="end"/>
                    </w:r>
                    <w:r>
                      <w:rPr>
                        <w:rFonts w:hint="eastAsia"/>
                      </w:rPr>
                      <w:t>页 共</w:t>
                    </w:r>
                    <w:r>
                      <w:rPr>
                        <w:rFonts w:hint="eastAsia"/>
                        <w:lang w:val="en-US" w:eastAsia="zh-CN"/>
                      </w:rPr>
                      <w:t>84</w:t>
                    </w:r>
                    <w:r>
                      <w:rPr>
                        <w:rFonts w:hint="eastAsia"/>
                      </w:rPr>
                      <w:t>页</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pPr>
    <w:r>
      <mc:AlternateContent>
        <mc:Choice Requires="wps">
          <w:drawing>
            <wp:anchor distT="0" distB="0" distL="114300" distR="114300" simplePos="0" relativeHeight="251660288" behindDoc="0" locked="0" layoutInCell="1" allowOverlap="1">
              <wp:simplePos x="0" y="0"/>
              <wp:positionH relativeFrom="margin">
                <wp:posOffset>2225675</wp:posOffset>
              </wp:positionH>
              <wp:positionV relativeFrom="paragraph">
                <wp:posOffset>-635</wp:posOffset>
              </wp:positionV>
              <wp:extent cx="1073150" cy="31115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073294" cy="311150"/>
                      </a:xfrm>
                      <a:prstGeom prst="rect">
                        <a:avLst/>
                      </a:prstGeom>
                      <a:noFill/>
                      <a:ln>
                        <a:noFill/>
                      </a:ln>
                    </wps:spPr>
                    <wps:txbx>
                      <w:txbxContent>
                        <w:p>
                          <w:pPr>
                            <w:pStyle w:val="26"/>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20</w:t>
                          </w:r>
                          <w:r>
                            <w:fldChar w:fldCharType="end"/>
                          </w:r>
                          <w:r>
                            <w:rPr>
                              <w:rFonts w:hint="eastAsia"/>
                            </w:rPr>
                            <w:t>页 共</w:t>
                          </w:r>
                          <w:r>
                            <w:rPr>
                              <w:rFonts w:hint="eastAsia"/>
                              <w:lang w:val="en-US" w:eastAsia="zh-CN"/>
                            </w:rPr>
                            <w:t>84</w:t>
                          </w:r>
                          <w:r>
                            <w:rPr>
                              <w:rFonts w:hint="eastAsia"/>
                            </w:rPr>
                            <w:t>页</w:t>
                          </w:r>
                        </w:p>
                        <w:p/>
                      </w:txbxContent>
                    </wps:txbx>
                    <wps:bodyPr wrap="square" lIns="0" tIns="0" rIns="0" bIns="0" upright="1">
                      <a:spAutoFit/>
                    </wps:bodyPr>
                  </wps:wsp>
                </a:graphicData>
              </a:graphic>
            </wp:anchor>
          </w:drawing>
        </mc:Choice>
        <mc:Fallback>
          <w:pict>
            <v:shape id="_x0000_s1026" o:spid="_x0000_s1026" o:spt="202" type="#_x0000_t202" style="position:absolute;left:0pt;margin-left:175.25pt;margin-top:-0.05pt;height:24.5pt;width:84.5pt;mso-position-horizontal-relative:margin;z-index:251660288;mso-width-relative:page;mso-height-relative:page;" filled="f" stroked="f" coordsize="21600,21600" o:gfxdata="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z5r+9UAAAAIAQAADwAAAAAAAAAB&#10;ACAAAAAiAAAAZHJzL2Rvd25yZXYueG1sUEsBAhQAFAAAAAgAh07iQBl8dAzaAQAAqAMAAA4AAAAA&#10;AAAAAQAgAAAAJAEAAGRycy9lMm9Eb2MueG1sUEsFBgAAAAAGAAYAWQEAAHAFAAAAAA==&#10;">
              <v:fill on="f" focussize="0,0"/>
              <v:stroke on="f"/>
              <v:imagedata o:title=""/>
              <o:lock v:ext="edit" aspectratio="f"/>
              <v:textbox inset="0mm,0mm,0mm,0mm" style="mso-fit-shape-to-text:t;">
                <w:txbxContent>
                  <w:p>
                    <w:pPr>
                      <w:pStyle w:val="26"/>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20</w:t>
                    </w:r>
                    <w:r>
                      <w:fldChar w:fldCharType="end"/>
                    </w:r>
                    <w:r>
                      <w:rPr>
                        <w:rFonts w:hint="eastAsia"/>
                      </w:rPr>
                      <w:t>页 共</w:t>
                    </w:r>
                    <w:r>
                      <w:rPr>
                        <w:rFonts w:hint="eastAsia"/>
                        <w:lang w:val="en-US" w:eastAsia="zh-CN"/>
                      </w:rPr>
                      <w:t>84</w:t>
                    </w:r>
                    <w:r>
                      <w:rPr>
                        <w:rFonts w:hint="eastAsia"/>
                      </w:rPr>
                      <w:t>页</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pPr>
    <w:r>
      <mc:AlternateContent>
        <mc:Choice Requires="wps">
          <w:drawing>
            <wp:anchor distT="0" distB="0" distL="114300" distR="114300" simplePos="0" relativeHeight="251661312" behindDoc="0" locked="0" layoutInCell="1" allowOverlap="1">
              <wp:simplePos x="0" y="0"/>
              <wp:positionH relativeFrom="margin">
                <wp:posOffset>2225675</wp:posOffset>
              </wp:positionH>
              <wp:positionV relativeFrom="paragraph">
                <wp:posOffset>-635</wp:posOffset>
              </wp:positionV>
              <wp:extent cx="1073150" cy="31115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073294" cy="311150"/>
                      </a:xfrm>
                      <a:prstGeom prst="rect">
                        <a:avLst/>
                      </a:prstGeom>
                      <a:noFill/>
                      <a:ln>
                        <a:noFill/>
                      </a:ln>
                    </wps:spPr>
                    <wps:txbx>
                      <w:txbxContent>
                        <w:p>
                          <w:pPr>
                            <w:pStyle w:val="26"/>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20</w:t>
                          </w:r>
                          <w:r>
                            <w:fldChar w:fldCharType="end"/>
                          </w:r>
                          <w:r>
                            <w:rPr>
                              <w:rFonts w:hint="eastAsia"/>
                            </w:rPr>
                            <w:t>页 共</w:t>
                          </w:r>
                          <w:r>
                            <w:rPr>
                              <w:rFonts w:hint="eastAsia"/>
                              <w:lang w:val="en-US" w:eastAsia="zh-CN"/>
                            </w:rPr>
                            <w:t>84</w:t>
                          </w:r>
                          <w:r>
                            <w:rPr>
                              <w:rFonts w:hint="eastAsia"/>
                            </w:rPr>
                            <w:t>页</w:t>
                          </w:r>
                        </w:p>
                        <w:p/>
                      </w:txbxContent>
                    </wps:txbx>
                    <wps:bodyPr wrap="square" lIns="0" tIns="0" rIns="0" bIns="0" upright="1">
                      <a:spAutoFit/>
                    </wps:bodyPr>
                  </wps:wsp>
                </a:graphicData>
              </a:graphic>
            </wp:anchor>
          </w:drawing>
        </mc:Choice>
        <mc:Fallback>
          <w:pict>
            <v:shape id="_x0000_s1026" o:spid="_x0000_s1026" o:spt="202" type="#_x0000_t202" style="position:absolute;left:0pt;margin-left:175.25pt;margin-top:-0.05pt;height:24.5pt;width:84.5pt;mso-position-horizontal-relative:margin;z-index:251661312;mso-width-relative:page;mso-height-relative:page;" filled="f" stroked="f" coordsize="21600,21600" o:gfxdata="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M+a/vVAAAACAEAAA8AAAAAAAAA&#10;AQAgAAAAIgAAAGRycy9kb3ducmV2LnhtbFBLAQIUABQAAAAIAIdO4kB6g2GK2wEAAKgDAAAOAAAA&#10;AAAAAAEAIAAAACQBAABkcnMvZTJvRG9jLnhtbFBLBQYAAAAABgAGAFkBAABxBQAAAAA=&#10;">
              <v:fill on="f" focussize="0,0"/>
              <v:stroke on="f"/>
              <v:imagedata o:title=""/>
              <o:lock v:ext="edit" aspectratio="f"/>
              <v:textbox inset="0mm,0mm,0mm,0mm" style="mso-fit-shape-to-text:t;">
                <w:txbxContent>
                  <w:p>
                    <w:pPr>
                      <w:pStyle w:val="26"/>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20</w:t>
                    </w:r>
                    <w:r>
                      <w:fldChar w:fldCharType="end"/>
                    </w:r>
                    <w:r>
                      <w:rPr>
                        <w:rFonts w:hint="eastAsia"/>
                      </w:rPr>
                      <w:t>页 共</w:t>
                    </w:r>
                    <w:r>
                      <w:rPr>
                        <w:rFonts w:hint="eastAsia"/>
                        <w:lang w:val="en-US" w:eastAsia="zh-CN"/>
                      </w:rPr>
                      <w:t>84</w:t>
                    </w:r>
                    <w:r>
                      <w:rPr>
                        <w:rFonts w:hint="eastAsia"/>
                      </w:rPr>
                      <w:t>页</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ind w:right="987"/>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75F6D"/>
    <w:multiLevelType w:val="singleLevel"/>
    <w:tmpl w:val="90775F6D"/>
    <w:lvl w:ilvl="0" w:tentative="0">
      <w:start w:val="16"/>
      <w:numFmt w:val="chineseCounting"/>
      <w:suff w:val="nothing"/>
      <w:lvlText w:val="（%1）"/>
      <w:lvlJc w:val="left"/>
      <w:rPr>
        <w:rFonts w:hint="eastAsia"/>
      </w:rPr>
    </w:lvl>
  </w:abstractNum>
  <w:abstractNum w:abstractNumId="1">
    <w:nsid w:val="A557DB24"/>
    <w:multiLevelType w:val="singleLevel"/>
    <w:tmpl w:val="A557DB24"/>
    <w:lvl w:ilvl="0" w:tentative="0">
      <w:start w:val="1"/>
      <w:numFmt w:val="decimal"/>
      <w:lvlText w:val="%1."/>
      <w:lvlJc w:val="left"/>
      <w:pPr>
        <w:tabs>
          <w:tab w:val="left" w:pos="312"/>
        </w:tabs>
      </w:pPr>
    </w:lvl>
  </w:abstractNum>
  <w:abstractNum w:abstractNumId="2">
    <w:nsid w:val="B75FE6BC"/>
    <w:multiLevelType w:val="singleLevel"/>
    <w:tmpl w:val="B75FE6BC"/>
    <w:lvl w:ilvl="0" w:tentative="0">
      <w:start w:val="1"/>
      <w:numFmt w:val="decimal"/>
      <w:suff w:val="nothing"/>
      <w:lvlText w:val="%1．"/>
      <w:lvlJc w:val="left"/>
      <w:pPr>
        <w:ind w:left="0" w:firstLine="400"/>
      </w:pPr>
      <w:rPr>
        <w:rFonts w:hint="default"/>
      </w:rPr>
    </w:lvl>
  </w:abstractNum>
  <w:abstractNum w:abstractNumId="3">
    <w:nsid w:val="BAD796E5"/>
    <w:multiLevelType w:val="singleLevel"/>
    <w:tmpl w:val="BAD796E5"/>
    <w:lvl w:ilvl="0" w:tentative="0">
      <w:start w:val="1"/>
      <w:numFmt w:val="decimal"/>
      <w:suff w:val="nothing"/>
      <w:lvlText w:val="%1．"/>
      <w:lvlJc w:val="left"/>
      <w:pPr>
        <w:ind w:left="0" w:firstLine="400"/>
      </w:pPr>
      <w:rPr>
        <w:rFonts w:hint="default"/>
      </w:rPr>
    </w:lvl>
  </w:abstractNum>
  <w:abstractNum w:abstractNumId="4">
    <w:nsid w:val="D81308D2"/>
    <w:multiLevelType w:val="singleLevel"/>
    <w:tmpl w:val="D81308D2"/>
    <w:lvl w:ilvl="0" w:tentative="0">
      <w:start w:val="1"/>
      <w:numFmt w:val="decimal"/>
      <w:suff w:val="nothing"/>
      <w:lvlText w:val="%1．"/>
      <w:lvlJc w:val="left"/>
      <w:pPr>
        <w:ind w:left="0" w:firstLine="400"/>
      </w:pPr>
      <w:rPr>
        <w:rFonts w:hint="default"/>
      </w:rPr>
    </w:lvl>
  </w:abstractNum>
  <w:abstractNum w:abstractNumId="5">
    <w:nsid w:val="4D5221E2"/>
    <w:multiLevelType w:val="singleLevel"/>
    <w:tmpl w:val="4D5221E2"/>
    <w:lvl w:ilvl="0" w:tentative="0">
      <w:start w:val="1"/>
      <w:numFmt w:val="decimal"/>
      <w:suff w:val="nothing"/>
      <w:lvlText w:val="%1．"/>
      <w:lvlJc w:val="left"/>
      <w:pPr>
        <w:ind w:left="0" w:firstLine="400"/>
      </w:pPr>
      <w:rPr>
        <w:rFonts w:hint="default"/>
      </w:rPr>
    </w:lvl>
  </w:abstractNum>
  <w:abstractNum w:abstractNumId="6">
    <w:nsid w:val="6A9164D1"/>
    <w:multiLevelType w:val="singleLevel"/>
    <w:tmpl w:val="6A9164D1"/>
    <w:lvl w:ilvl="0" w:tentative="0">
      <w:start w:val="1"/>
      <w:numFmt w:val="decimal"/>
      <w:suff w:val="nothing"/>
      <w:lvlText w:val="%1．"/>
      <w:lvlJc w:val="left"/>
      <w:pPr>
        <w:ind w:left="0" w:firstLine="400"/>
      </w:pPr>
      <w:rPr>
        <w:rFonts w:hint="default"/>
      </w:r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NmZmOWFiMGE3NDcwZTJmZWM5MzE0NmM1OGMxZDQifQ=="/>
  </w:docVars>
  <w:rsids>
    <w:rsidRoot w:val="00000000"/>
    <w:rsid w:val="03CC3AF9"/>
    <w:rsid w:val="09BB767E"/>
    <w:rsid w:val="0C221CAA"/>
    <w:rsid w:val="10A426B2"/>
    <w:rsid w:val="11270DF0"/>
    <w:rsid w:val="16337E88"/>
    <w:rsid w:val="1E4379A4"/>
    <w:rsid w:val="24547DC7"/>
    <w:rsid w:val="30E8455C"/>
    <w:rsid w:val="3A1C3C68"/>
    <w:rsid w:val="3B0C0D04"/>
    <w:rsid w:val="3DAD5B71"/>
    <w:rsid w:val="40A430BD"/>
    <w:rsid w:val="456D2A7C"/>
    <w:rsid w:val="46653D0A"/>
    <w:rsid w:val="49042D0C"/>
    <w:rsid w:val="518E184B"/>
    <w:rsid w:val="5482436A"/>
    <w:rsid w:val="56FE2240"/>
    <w:rsid w:val="6007352E"/>
    <w:rsid w:val="69F07BFF"/>
    <w:rsid w:val="6A333127"/>
    <w:rsid w:val="6EDD3741"/>
    <w:rsid w:val="70981F36"/>
    <w:rsid w:val="72AE28AB"/>
    <w:rsid w:val="7C2C2BC2"/>
    <w:rsid w:val="7D60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2"/>
    </w:rPr>
  </w:style>
  <w:style w:type="paragraph" w:styleId="3">
    <w:name w:val="heading 1"/>
    <w:basedOn w:val="1"/>
    <w:next w:val="1"/>
    <w:link w:val="237"/>
    <w:qFormat/>
    <w:uiPriority w:val="9"/>
    <w:pPr>
      <w:keepNext/>
      <w:keepLines/>
      <w:spacing w:before="340" w:after="330" w:line="578" w:lineRule="auto"/>
      <w:outlineLvl w:val="0"/>
    </w:pPr>
    <w:rPr>
      <w:b/>
      <w:bCs/>
      <w:sz w:val="44"/>
      <w:szCs w:val="44"/>
      <w:lang w:eastAsia="en-US"/>
    </w:rPr>
  </w:style>
  <w:style w:type="paragraph" w:styleId="4">
    <w:name w:val="heading 2"/>
    <w:basedOn w:val="1"/>
    <w:next w:val="1"/>
    <w:link w:val="90"/>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91"/>
    <w:qFormat/>
    <w:uiPriority w:val="9"/>
    <w:pPr>
      <w:keepNext/>
      <w:keepLines/>
      <w:spacing w:before="260" w:after="260" w:line="416" w:lineRule="auto"/>
      <w:outlineLvl w:val="2"/>
    </w:pPr>
    <w:rPr>
      <w:b/>
      <w:bCs/>
      <w:sz w:val="32"/>
      <w:szCs w:val="32"/>
    </w:rPr>
  </w:style>
  <w:style w:type="paragraph" w:styleId="2">
    <w:name w:val="heading 4"/>
    <w:basedOn w:val="1"/>
    <w:next w:val="1"/>
    <w:link w:val="92"/>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93"/>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94"/>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95"/>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96"/>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97"/>
    <w:unhideWhenUsed/>
    <w:qFormat/>
    <w:uiPriority w:val="9"/>
    <w:pPr>
      <w:keepNext/>
      <w:keepLines/>
      <w:spacing w:before="320" w:after="200"/>
      <w:outlineLvl w:val="8"/>
    </w:pPr>
    <w:rPr>
      <w:rFonts w:ascii="Arial" w:hAnsi="Arial" w:eastAsia="Arial" w:cs="Arial"/>
      <w:i/>
      <w:iCs/>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link w:val="238"/>
    <w:qFormat/>
    <w:uiPriority w:val="0"/>
    <w:pPr>
      <w:ind w:firstLine="420"/>
    </w:pPr>
    <w:rPr>
      <w:szCs w:val="24"/>
      <w:lang w:eastAsia="en-US"/>
    </w:rPr>
  </w:style>
  <w:style w:type="paragraph" w:styleId="13">
    <w:name w:val="caption"/>
    <w:basedOn w:val="1"/>
    <w:next w:val="1"/>
    <w:semiHidden/>
    <w:unhideWhenUsed/>
    <w:qFormat/>
    <w:uiPriority w:val="35"/>
    <w:pPr>
      <w:spacing w:line="276" w:lineRule="auto"/>
    </w:pPr>
    <w:rPr>
      <w:b/>
      <w:bCs/>
      <w:color w:val="4F81BD"/>
      <w:sz w:val="18"/>
      <w:szCs w:val="18"/>
    </w:rPr>
  </w:style>
  <w:style w:type="paragraph" w:styleId="14">
    <w:name w:val="Document Map"/>
    <w:basedOn w:val="1"/>
    <w:link w:val="239"/>
    <w:qFormat/>
    <w:uiPriority w:val="0"/>
    <w:rPr>
      <w:rFonts w:ascii="宋体"/>
      <w:sz w:val="18"/>
      <w:szCs w:val="18"/>
      <w:lang w:eastAsia="en-US"/>
    </w:rPr>
  </w:style>
  <w:style w:type="paragraph" w:styleId="15">
    <w:name w:val="annotation text"/>
    <w:basedOn w:val="1"/>
    <w:link w:val="240"/>
    <w:qFormat/>
    <w:uiPriority w:val="0"/>
    <w:pPr>
      <w:jc w:val="left"/>
    </w:pPr>
    <w:rPr>
      <w:szCs w:val="20"/>
      <w:lang w:eastAsia="en-US"/>
    </w:rPr>
  </w:style>
  <w:style w:type="paragraph" w:styleId="16">
    <w:name w:val="Body Text"/>
    <w:basedOn w:val="1"/>
    <w:next w:val="1"/>
    <w:link w:val="241"/>
    <w:qFormat/>
    <w:uiPriority w:val="0"/>
    <w:rPr>
      <w:rFonts w:ascii="Tahoma" w:hAnsi="Tahoma"/>
      <w:szCs w:val="24"/>
      <w:lang w:eastAsia="en-US"/>
    </w:rPr>
  </w:style>
  <w:style w:type="paragraph" w:styleId="17">
    <w:name w:val="Body Text Indent"/>
    <w:basedOn w:val="1"/>
    <w:next w:val="18"/>
    <w:qFormat/>
    <w:uiPriority w:val="0"/>
    <w:pPr>
      <w:tabs>
        <w:tab w:val="left" w:pos="180"/>
      </w:tabs>
      <w:ind w:firstLine="480"/>
    </w:pPr>
    <w:rPr>
      <w:rFonts w:ascii="Tahoma" w:hAnsi="Tahoma"/>
      <w:sz w:val="24"/>
    </w:rPr>
  </w:style>
  <w:style w:type="paragraph" w:styleId="18">
    <w:name w:val="envelope return"/>
    <w:basedOn w:val="1"/>
    <w:qFormat/>
    <w:uiPriority w:val="0"/>
    <w:rPr>
      <w:rFonts w:ascii="Arial" w:hAnsi="Arial"/>
    </w:rPr>
  </w:style>
  <w:style w:type="paragraph" w:styleId="19">
    <w:name w:val="toc 5"/>
    <w:basedOn w:val="1"/>
    <w:next w:val="1"/>
    <w:unhideWhenUsed/>
    <w:qFormat/>
    <w:uiPriority w:val="39"/>
    <w:pPr>
      <w:spacing w:after="57"/>
      <w:ind w:left="1134"/>
    </w:pPr>
  </w:style>
  <w:style w:type="paragraph" w:styleId="20">
    <w:name w:val="toc 3"/>
    <w:basedOn w:val="1"/>
    <w:next w:val="1"/>
    <w:qFormat/>
    <w:uiPriority w:val="39"/>
    <w:pPr>
      <w:ind w:left="840"/>
    </w:pPr>
  </w:style>
  <w:style w:type="paragraph" w:styleId="21">
    <w:name w:val="Plain Text"/>
    <w:basedOn w:val="1"/>
    <w:qFormat/>
    <w:uiPriority w:val="0"/>
    <w:rPr>
      <w:rFonts w:ascii="宋体" w:hAnsi="Courier New"/>
    </w:rPr>
  </w:style>
  <w:style w:type="paragraph" w:styleId="22">
    <w:name w:val="toc 8"/>
    <w:basedOn w:val="1"/>
    <w:next w:val="1"/>
    <w:unhideWhenUsed/>
    <w:qFormat/>
    <w:uiPriority w:val="39"/>
    <w:pPr>
      <w:spacing w:after="57"/>
      <w:ind w:left="1984"/>
    </w:pPr>
  </w:style>
  <w:style w:type="paragraph" w:styleId="23">
    <w:name w:val="Body Text Indent 2"/>
    <w:basedOn w:val="1"/>
    <w:qFormat/>
    <w:uiPriority w:val="99"/>
    <w:pPr>
      <w:ind w:firstLine="630" w:firstLineChars="225"/>
    </w:pPr>
    <w:rPr>
      <w:rFonts w:ascii="仿宋_GB2312" w:hAnsi="Times New Roman" w:eastAsia="仿宋_GB2312" w:cs="仿宋_GB2312"/>
      <w:kern w:val="0"/>
      <w:sz w:val="28"/>
      <w:szCs w:val="28"/>
    </w:rPr>
  </w:style>
  <w:style w:type="paragraph" w:styleId="24">
    <w:name w:val="endnote text"/>
    <w:basedOn w:val="1"/>
    <w:link w:val="235"/>
    <w:semiHidden/>
    <w:unhideWhenUsed/>
    <w:qFormat/>
    <w:uiPriority w:val="99"/>
    <w:rPr>
      <w:sz w:val="20"/>
    </w:rPr>
  </w:style>
  <w:style w:type="paragraph" w:styleId="25">
    <w:name w:val="Balloon Text"/>
    <w:basedOn w:val="1"/>
    <w:link w:val="242"/>
    <w:qFormat/>
    <w:uiPriority w:val="0"/>
    <w:rPr>
      <w:sz w:val="18"/>
      <w:szCs w:val="18"/>
      <w:lang w:eastAsia="en-US"/>
    </w:rPr>
  </w:style>
  <w:style w:type="paragraph" w:styleId="26">
    <w:name w:val="footer"/>
    <w:basedOn w:val="1"/>
    <w:link w:val="108"/>
    <w:unhideWhenUsed/>
    <w:qFormat/>
    <w:uiPriority w:val="99"/>
    <w:pPr>
      <w:tabs>
        <w:tab w:val="center" w:pos="4153"/>
        <w:tab w:val="right" w:pos="8306"/>
      </w:tabs>
      <w:jc w:val="left"/>
    </w:pPr>
    <w:rPr>
      <w:sz w:val="18"/>
      <w:szCs w:val="18"/>
    </w:rPr>
  </w:style>
  <w:style w:type="paragraph" w:styleId="27">
    <w:name w:val="header"/>
    <w:basedOn w:val="1"/>
    <w:link w:val="106"/>
    <w:qFormat/>
    <w:uiPriority w:val="99"/>
    <w:pPr>
      <w:pBdr>
        <w:top w:val="none" w:color="000000" w:sz="0" w:space="1"/>
        <w:left w:val="none" w:color="000000" w:sz="0" w:space="4"/>
        <w:bottom w:val="none" w:color="000000" w:sz="0" w:space="1"/>
        <w:right w:val="none" w:color="000000" w:sz="0" w:space="4"/>
      </w:pBdr>
      <w:tabs>
        <w:tab w:val="center" w:pos="4153"/>
        <w:tab w:val="right" w:pos="8306"/>
      </w:tabs>
    </w:pPr>
    <w:rPr>
      <w:sz w:val="18"/>
    </w:rPr>
  </w:style>
  <w:style w:type="paragraph" w:styleId="28">
    <w:name w:val="toc 1"/>
    <w:basedOn w:val="1"/>
    <w:next w:val="1"/>
    <w:qFormat/>
    <w:uiPriority w:val="39"/>
    <w:pPr>
      <w:tabs>
        <w:tab w:val="right" w:leader="dot" w:pos="9638"/>
      </w:tabs>
      <w:spacing w:line="440" w:lineRule="exact"/>
      <w:ind w:right="-424"/>
      <w:jc w:val="center"/>
    </w:pPr>
  </w:style>
  <w:style w:type="paragraph" w:styleId="29">
    <w:name w:val="toc 4"/>
    <w:basedOn w:val="1"/>
    <w:next w:val="1"/>
    <w:unhideWhenUsed/>
    <w:qFormat/>
    <w:uiPriority w:val="39"/>
    <w:pPr>
      <w:spacing w:after="57"/>
      <w:ind w:left="850"/>
    </w:pPr>
  </w:style>
  <w:style w:type="paragraph" w:styleId="30">
    <w:name w:val="Subtitle"/>
    <w:basedOn w:val="1"/>
    <w:next w:val="1"/>
    <w:link w:val="101"/>
    <w:qFormat/>
    <w:uiPriority w:val="11"/>
    <w:pPr>
      <w:spacing w:before="200" w:after="200"/>
    </w:pPr>
    <w:rPr>
      <w:sz w:val="24"/>
      <w:szCs w:val="24"/>
    </w:rPr>
  </w:style>
  <w:style w:type="paragraph" w:styleId="31">
    <w:name w:val="footnote text"/>
    <w:basedOn w:val="1"/>
    <w:link w:val="234"/>
    <w:semiHidden/>
    <w:unhideWhenUsed/>
    <w:qFormat/>
    <w:uiPriority w:val="99"/>
    <w:pPr>
      <w:spacing w:after="40"/>
    </w:pPr>
    <w:rPr>
      <w:sz w:val="18"/>
    </w:rPr>
  </w:style>
  <w:style w:type="paragraph" w:styleId="32">
    <w:name w:val="toc 6"/>
    <w:basedOn w:val="1"/>
    <w:next w:val="1"/>
    <w:unhideWhenUsed/>
    <w:qFormat/>
    <w:uiPriority w:val="39"/>
    <w:pPr>
      <w:spacing w:after="57"/>
      <w:ind w:left="1417"/>
    </w:pPr>
  </w:style>
  <w:style w:type="paragraph" w:styleId="33">
    <w:name w:val="table of figures"/>
    <w:basedOn w:val="1"/>
    <w:next w:val="1"/>
    <w:unhideWhenUsed/>
    <w:qFormat/>
    <w:uiPriority w:val="99"/>
  </w:style>
  <w:style w:type="paragraph" w:styleId="34">
    <w:name w:val="toc 2"/>
    <w:basedOn w:val="1"/>
    <w:next w:val="1"/>
    <w:qFormat/>
    <w:uiPriority w:val="39"/>
    <w:pPr>
      <w:tabs>
        <w:tab w:val="right" w:leader="dot" w:pos="9214"/>
      </w:tabs>
      <w:jc w:val="right"/>
    </w:pPr>
  </w:style>
  <w:style w:type="paragraph" w:styleId="35">
    <w:name w:val="toc 9"/>
    <w:basedOn w:val="1"/>
    <w:next w:val="1"/>
    <w:unhideWhenUsed/>
    <w:qFormat/>
    <w:uiPriority w:val="39"/>
    <w:pPr>
      <w:spacing w:after="57"/>
      <w:ind w:left="2268"/>
    </w:pPr>
  </w:style>
  <w:style w:type="paragraph" w:styleId="36">
    <w:name w:val="Normal (Web)"/>
    <w:basedOn w:val="1"/>
    <w:qFormat/>
    <w:uiPriority w:val="0"/>
    <w:pPr>
      <w:spacing w:before="100" w:beforeAutospacing="1" w:after="100" w:afterAutospacing="1"/>
      <w:jc w:val="left"/>
    </w:pPr>
    <w:rPr>
      <w:rFonts w:ascii="Times New Roman" w:hAnsi="Times New Roman"/>
      <w:sz w:val="24"/>
    </w:rPr>
  </w:style>
  <w:style w:type="paragraph" w:styleId="37">
    <w:name w:val="Title"/>
    <w:basedOn w:val="1"/>
    <w:next w:val="1"/>
    <w:link w:val="100"/>
    <w:qFormat/>
    <w:uiPriority w:val="10"/>
    <w:pPr>
      <w:spacing w:before="300" w:after="200"/>
      <w:contextualSpacing/>
    </w:pPr>
    <w:rPr>
      <w:sz w:val="48"/>
      <w:szCs w:val="48"/>
    </w:rPr>
  </w:style>
  <w:style w:type="paragraph" w:styleId="38">
    <w:name w:val="Body Text First Indent 2"/>
    <w:basedOn w:val="17"/>
    <w:next w:val="23"/>
    <w:qFormat/>
    <w:uiPriority w:val="0"/>
    <w:pPr>
      <w:ind w:left="420" w:firstLine="420"/>
    </w:pPr>
    <w:rPr>
      <w:rFonts w:ascii="Times New Roman" w:hAnsi="Times New Roman"/>
      <w:szCs w:val="24"/>
    </w:rPr>
  </w:style>
  <w:style w:type="table" w:styleId="40">
    <w:name w:val="Table Grid"/>
    <w:basedOn w:val="3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endnote reference"/>
    <w:semiHidden/>
    <w:unhideWhenUsed/>
    <w:qFormat/>
    <w:uiPriority w:val="99"/>
    <w:rPr>
      <w:vertAlign w:val="superscript"/>
    </w:rPr>
  </w:style>
  <w:style w:type="character" w:styleId="43">
    <w:name w:val="page number"/>
    <w:qFormat/>
    <w:uiPriority w:val="0"/>
    <w:rPr>
      <w:rFonts w:ascii="Times New Roman" w:hAnsi="Times New Roman" w:eastAsia="宋体" w:cs="Times New Roman"/>
    </w:rPr>
  </w:style>
  <w:style w:type="character" w:styleId="44">
    <w:name w:val="Hyperlink"/>
    <w:qFormat/>
    <w:uiPriority w:val="99"/>
    <w:rPr>
      <w:color w:val="2440B3"/>
      <w:u w:val="single"/>
    </w:rPr>
  </w:style>
  <w:style w:type="character" w:styleId="45">
    <w:name w:val="annotation reference"/>
    <w:qFormat/>
    <w:uiPriority w:val="0"/>
    <w:rPr>
      <w:sz w:val="21"/>
      <w:szCs w:val="21"/>
    </w:rPr>
  </w:style>
  <w:style w:type="character" w:styleId="46">
    <w:name w:val="footnote reference"/>
    <w:unhideWhenUsed/>
    <w:qFormat/>
    <w:uiPriority w:val="99"/>
    <w:rPr>
      <w:vertAlign w:val="superscript"/>
    </w:rPr>
  </w:style>
  <w:style w:type="paragraph" w:customStyle="1" w:styleId="47">
    <w:name w:val="正文1"/>
    <w:basedOn w:val="1"/>
    <w:qFormat/>
    <w:uiPriority w:val="0"/>
    <w:pPr>
      <w:widowControl/>
      <w:spacing w:line="440" w:lineRule="exact"/>
      <w:ind w:right="-167"/>
    </w:pPr>
    <w:rPr>
      <w:rFonts w:ascii="Times New Roman" w:hAnsi="Times New Roman"/>
      <w:b/>
    </w:rPr>
  </w:style>
  <w:style w:type="paragraph" w:customStyle="1" w:styleId="48">
    <w:name w:val="Default"/>
    <w:next w:val="1"/>
    <w:qFormat/>
    <w:uiPriority w:val="0"/>
    <w:pPr>
      <w:widowControl w:val="0"/>
    </w:pPr>
    <w:rPr>
      <w:rFonts w:hint="default" w:ascii="宋体" w:hAnsi="Calibri" w:eastAsia="宋体" w:cs="Times New Roman"/>
      <w:color w:val="000000"/>
      <w:sz w:val="24"/>
      <w:szCs w:val="24"/>
    </w:rPr>
  </w:style>
  <w:style w:type="paragraph" w:customStyle="1" w:styleId="49">
    <w:name w:val="一级条标题"/>
    <w:basedOn w:val="50"/>
    <w:next w:val="5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0">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rPr>
  </w:style>
  <w:style w:type="paragraph" w:customStyle="1" w:styleId="51">
    <w:name w:val="段"/>
    <w:next w:val="52"/>
    <w:qFormat/>
    <w:uiPriority w:val="0"/>
    <w:pPr>
      <w:widowControl w:val="0"/>
      <w:ind w:firstLine="200"/>
      <w:jc w:val="both"/>
    </w:pPr>
    <w:rPr>
      <w:rFonts w:hint="default" w:ascii="宋体" w:hAnsi="宋体" w:eastAsia="宋体" w:cs="宋体"/>
      <w:color w:val="000000"/>
      <w:sz w:val="21"/>
      <w:szCs w:val="21"/>
    </w:rPr>
  </w:style>
  <w:style w:type="paragraph" w:customStyle="1" w:styleId="52">
    <w:name w:val="正文 A"/>
    <w:next w:val="51"/>
    <w:qFormat/>
    <w:uiPriority w:val="0"/>
    <w:pPr>
      <w:widowControl w:val="0"/>
      <w:jc w:val="both"/>
    </w:pPr>
    <w:rPr>
      <w:rFonts w:hint="default" w:ascii="Calibri" w:hAnsi="Calibri" w:eastAsia="Calibri" w:cs="Calibri"/>
      <w:color w:val="000000"/>
      <w:sz w:val="21"/>
      <w:szCs w:val="21"/>
    </w:rPr>
  </w:style>
  <w:style w:type="character" w:customStyle="1" w:styleId="53">
    <w:name w:val="Heading 2 Char"/>
    <w:basedOn w:val="41"/>
    <w:qFormat/>
    <w:uiPriority w:val="9"/>
    <w:rPr>
      <w:rFonts w:ascii="Arial" w:hAnsi="Arial" w:eastAsia="Arial" w:cs="Arial"/>
      <w:sz w:val="34"/>
    </w:rPr>
  </w:style>
  <w:style w:type="character" w:customStyle="1" w:styleId="54">
    <w:name w:val="Heading 3 Char"/>
    <w:basedOn w:val="41"/>
    <w:qFormat/>
    <w:uiPriority w:val="9"/>
    <w:rPr>
      <w:rFonts w:ascii="Arial" w:hAnsi="Arial" w:eastAsia="Arial" w:cs="Arial"/>
      <w:sz w:val="30"/>
      <w:szCs w:val="30"/>
    </w:rPr>
  </w:style>
  <w:style w:type="character" w:customStyle="1" w:styleId="55">
    <w:name w:val="Heading 4 Char"/>
    <w:basedOn w:val="41"/>
    <w:qFormat/>
    <w:uiPriority w:val="9"/>
    <w:rPr>
      <w:rFonts w:ascii="Arial" w:hAnsi="Arial" w:eastAsia="Arial" w:cs="Arial"/>
      <w:b/>
      <w:bCs/>
      <w:sz w:val="26"/>
      <w:szCs w:val="26"/>
    </w:rPr>
  </w:style>
  <w:style w:type="character" w:customStyle="1" w:styleId="56">
    <w:name w:val="Heading 5 Char"/>
    <w:basedOn w:val="41"/>
    <w:qFormat/>
    <w:uiPriority w:val="9"/>
    <w:rPr>
      <w:rFonts w:ascii="Arial" w:hAnsi="Arial" w:eastAsia="Arial" w:cs="Arial"/>
      <w:b/>
      <w:bCs/>
      <w:sz w:val="24"/>
      <w:szCs w:val="24"/>
    </w:rPr>
  </w:style>
  <w:style w:type="character" w:customStyle="1" w:styleId="57">
    <w:name w:val="Heading 6 Char"/>
    <w:basedOn w:val="41"/>
    <w:qFormat/>
    <w:uiPriority w:val="9"/>
    <w:rPr>
      <w:rFonts w:ascii="Arial" w:hAnsi="Arial" w:eastAsia="Arial" w:cs="Arial"/>
      <w:b/>
      <w:bCs/>
      <w:sz w:val="22"/>
      <w:szCs w:val="22"/>
    </w:rPr>
  </w:style>
  <w:style w:type="character" w:customStyle="1" w:styleId="58">
    <w:name w:val="Heading 7 Char"/>
    <w:basedOn w:val="41"/>
    <w:qFormat/>
    <w:uiPriority w:val="9"/>
    <w:rPr>
      <w:rFonts w:ascii="Arial" w:hAnsi="Arial" w:eastAsia="Arial" w:cs="Arial"/>
      <w:b/>
      <w:bCs/>
      <w:i/>
      <w:iCs/>
      <w:sz w:val="22"/>
      <w:szCs w:val="22"/>
    </w:rPr>
  </w:style>
  <w:style w:type="character" w:customStyle="1" w:styleId="59">
    <w:name w:val="Heading 8 Char"/>
    <w:basedOn w:val="41"/>
    <w:qFormat/>
    <w:uiPriority w:val="9"/>
    <w:rPr>
      <w:rFonts w:ascii="Arial" w:hAnsi="Arial" w:eastAsia="Arial" w:cs="Arial"/>
      <w:i/>
      <w:iCs/>
      <w:sz w:val="22"/>
      <w:szCs w:val="22"/>
    </w:rPr>
  </w:style>
  <w:style w:type="character" w:customStyle="1" w:styleId="60">
    <w:name w:val="Heading 9 Char"/>
    <w:basedOn w:val="41"/>
    <w:qFormat/>
    <w:uiPriority w:val="9"/>
    <w:rPr>
      <w:rFonts w:ascii="Arial" w:hAnsi="Arial" w:eastAsia="Arial" w:cs="Arial"/>
      <w:i/>
      <w:iCs/>
      <w:sz w:val="21"/>
      <w:szCs w:val="21"/>
    </w:rPr>
  </w:style>
  <w:style w:type="character" w:customStyle="1" w:styleId="61">
    <w:name w:val="Title Char"/>
    <w:basedOn w:val="41"/>
    <w:qFormat/>
    <w:uiPriority w:val="10"/>
    <w:rPr>
      <w:sz w:val="48"/>
      <w:szCs w:val="48"/>
    </w:rPr>
  </w:style>
  <w:style w:type="character" w:customStyle="1" w:styleId="62">
    <w:name w:val="Subtitle Char"/>
    <w:basedOn w:val="41"/>
    <w:qFormat/>
    <w:uiPriority w:val="11"/>
    <w:rPr>
      <w:sz w:val="24"/>
      <w:szCs w:val="24"/>
    </w:rPr>
  </w:style>
  <w:style w:type="character" w:customStyle="1" w:styleId="63">
    <w:name w:val="Quote Char"/>
    <w:qFormat/>
    <w:uiPriority w:val="29"/>
    <w:rPr>
      <w:i/>
    </w:rPr>
  </w:style>
  <w:style w:type="character" w:customStyle="1" w:styleId="64">
    <w:name w:val="Intense Quote Char"/>
    <w:qFormat/>
    <w:uiPriority w:val="30"/>
    <w:rPr>
      <w:i/>
    </w:rPr>
  </w:style>
  <w:style w:type="character" w:customStyle="1" w:styleId="65">
    <w:name w:val="Header Char"/>
    <w:basedOn w:val="41"/>
    <w:qFormat/>
    <w:uiPriority w:val="99"/>
  </w:style>
  <w:style w:type="character" w:customStyle="1" w:styleId="66">
    <w:name w:val="Caption Char"/>
    <w:qFormat/>
    <w:uiPriority w:val="99"/>
  </w:style>
  <w:style w:type="table" w:customStyle="1" w:styleId="67">
    <w:name w:val="Plain Table 1"/>
    <w:basedOn w:val="3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8">
    <w:name w:val="Plain Table 2"/>
    <w:basedOn w:val="3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9">
    <w:name w:val="Plain Table 3"/>
    <w:basedOn w:val="3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Plain Table 4"/>
    <w:basedOn w:val="3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Plain Table 5"/>
    <w:basedOn w:val="3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Grid Table 1 Light"/>
    <w:basedOn w:val="3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3">
    <w:name w:val="Grid Table 2"/>
    <w:basedOn w:val="3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3"/>
    <w:basedOn w:val="3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4"/>
    <w:basedOn w:val="3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5 Dark"/>
    <w:basedOn w:val="3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77">
    <w:name w:val="Grid Table 6 Colorful"/>
    <w:basedOn w:val="3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8">
    <w:name w:val="Grid Table 7 Colorful"/>
    <w:basedOn w:val="3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9">
    <w:name w:val="List Table 1 Light"/>
    <w:basedOn w:val="3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80">
    <w:name w:val="List Table 2"/>
    <w:basedOn w:val="3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1">
    <w:name w:val="List Table 3"/>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82">
    <w:name w:val="List Table 4"/>
    <w:basedOn w:val="3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83">
    <w:name w:val="List Table 5 Dark"/>
    <w:basedOn w:val="3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84">
    <w:name w:val="List Table 6 Colorful"/>
    <w:basedOn w:val="3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85">
    <w:name w:val="List Table 7 Colorful"/>
    <w:basedOn w:val="3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86">
    <w:name w:val="Footnote Text Char"/>
    <w:qFormat/>
    <w:uiPriority w:val="99"/>
    <w:rPr>
      <w:sz w:val="18"/>
    </w:rPr>
  </w:style>
  <w:style w:type="character" w:customStyle="1" w:styleId="87">
    <w:name w:val="Endnote Text Char"/>
    <w:qFormat/>
    <w:uiPriority w:val="99"/>
    <w:rPr>
      <w:sz w:val="20"/>
    </w:rPr>
  </w:style>
  <w:style w:type="paragraph" w:customStyle="1" w:styleId="88">
    <w:name w:val="TOC Heading"/>
    <w:unhideWhenUsed/>
    <w:qFormat/>
    <w:uiPriority w:val="39"/>
    <w:rPr>
      <w:rFonts w:hint="default" w:ascii="Times New Roman" w:hAnsi="Times New Roman" w:eastAsia="宋体" w:cs="Times New Roman"/>
    </w:rPr>
  </w:style>
  <w:style w:type="character" w:customStyle="1" w:styleId="89">
    <w:name w:val="Heading 1 Char"/>
    <w:qFormat/>
    <w:uiPriority w:val="9"/>
    <w:rPr>
      <w:rFonts w:ascii="Arial" w:hAnsi="Arial" w:eastAsia="Arial" w:cs="Arial"/>
      <w:sz w:val="40"/>
      <w:szCs w:val="40"/>
    </w:rPr>
  </w:style>
  <w:style w:type="character" w:customStyle="1" w:styleId="90">
    <w:name w:val="标题 2 字符"/>
    <w:link w:val="4"/>
    <w:qFormat/>
    <w:uiPriority w:val="9"/>
    <w:rPr>
      <w:rFonts w:ascii="Arial" w:hAnsi="Arial" w:eastAsia="Arial" w:cs="Arial"/>
      <w:sz w:val="34"/>
    </w:rPr>
  </w:style>
  <w:style w:type="character" w:customStyle="1" w:styleId="91">
    <w:name w:val="标题 3 字符"/>
    <w:link w:val="5"/>
    <w:qFormat/>
    <w:uiPriority w:val="9"/>
    <w:rPr>
      <w:rFonts w:ascii="Arial" w:hAnsi="Arial" w:eastAsia="Arial" w:cs="Arial"/>
      <w:sz w:val="30"/>
      <w:szCs w:val="30"/>
    </w:rPr>
  </w:style>
  <w:style w:type="character" w:customStyle="1" w:styleId="92">
    <w:name w:val="标题 4 字符"/>
    <w:link w:val="2"/>
    <w:qFormat/>
    <w:uiPriority w:val="9"/>
    <w:rPr>
      <w:rFonts w:ascii="Arial" w:hAnsi="Arial" w:eastAsia="Arial" w:cs="Arial"/>
      <w:b/>
      <w:bCs/>
      <w:sz w:val="26"/>
      <w:szCs w:val="26"/>
    </w:rPr>
  </w:style>
  <w:style w:type="character" w:customStyle="1" w:styleId="93">
    <w:name w:val="标题 5 字符"/>
    <w:link w:val="6"/>
    <w:qFormat/>
    <w:uiPriority w:val="9"/>
    <w:rPr>
      <w:rFonts w:ascii="Arial" w:hAnsi="Arial" w:eastAsia="Arial" w:cs="Arial"/>
      <w:b/>
      <w:bCs/>
      <w:sz w:val="24"/>
      <w:szCs w:val="24"/>
    </w:rPr>
  </w:style>
  <w:style w:type="character" w:customStyle="1" w:styleId="94">
    <w:name w:val="标题 6 字符"/>
    <w:link w:val="7"/>
    <w:qFormat/>
    <w:uiPriority w:val="9"/>
    <w:rPr>
      <w:rFonts w:ascii="Arial" w:hAnsi="Arial" w:eastAsia="Arial" w:cs="Arial"/>
      <w:b/>
      <w:bCs/>
      <w:sz w:val="22"/>
      <w:szCs w:val="22"/>
    </w:rPr>
  </w:style>
  <w:style w:type="character" w:customStyle="1" w:styleId="95">
    <w:name w:val="标题 7 字符"/>
    <w:link w:val="8"/>
    <w:qFormat/>
    <w:uiPriority w:val="9"/>
    <w:rPr>
      <w:rFonts w:ascii="Arial" w:hAnsi="Arial" w:eastAsia="Arial" w:cs="Arial"/>
      <w:b/>
      <w:bCs/>
      <w:i/>
      <w:iCs/>
      <w:sz w:val="22"/>
      <w:szCs w:val="22"/>
    </w:rPr>
  </w:style>
  <w:style w:type="character" w:customStyle="1" w:styleId="96">
    <w:name w:val="标题 8 字符"/>
    <w:link w:val="9"/>
    <w:qFormat/>
    <w:uiPriority w:val="9"/>
    <w:rPr>
      <w:rFonts w:ascii="Arial" w:hAnsi="Arial" w:eastAsia="Arial" w:cs="Arial"/>
      <w:i/>
      <w:iCs/>
      <w:sz w:val="22"/>
      <w:szCs w:val="22"/>
    </w:rPr>
  </w:style>
  <w:style w:type="character" w:customStyle="1" w:styleId="97">
    <w:name w:val="标题 9 字符"/>
    <w:link w:val="10"/>
    <w:qFormat/>
    <w:uiPriority w:val="9"/>
    <w:rPr>
      <w:rFonts w:ascii="Arial" w:hAnsi="Arial" w:eastAsia="Arial" w:cs="Arial"/>
      <w:i/>
      <w:iCs/>
      <w:sz w:val="21"/>
      <w:szCs w:val="21"/>
    </w:rPr>
  </w:style>
  <w:style w:type="paragraph" w:styleId="98">
    <w:name w:val="List Paragraph"/>
    <w:basedOn w:val="1"/>
    <w:qFormat/>
    <w:uiPriority w:val="34"/>
    <w:pPr>
      <w:ind w:left="720"/>
      <w:contextualSpacing/>
    </w:pPr>
  </w:style>
  <w:style w:type="paragraph" w:styleId="99">
    <w:name w:val="No Spacing"/>
    <w:qFormat/>
    <w:uiPriority w:val="1"/>
    <w:rPr>
      <w:rFonts w:hint="default" w:ascii="Calibri" w:hAnsi="Calibri" w:eastAsia="宋体" w:cs="Times New Roman"/>
    </w:rPr>
  </w:style>
  <w:style w:type="character" w:customStyle="1" w:styleId="100">
    <w:name w:val="标题 字符"/>
    <w:link w:val="37"/>
    <w:qFormat/>
    <w:uiPriority w:val="10"/>
    <w:rPr>
      <w:sz w:val="48"/>
      <w:szCs w:val="48"/>
    </w:rPr>
  </w:style>
  <w:style w:type="character" w:customStyle="1" w:styleId="101">
    <w:name w:val="副标题 字符"/>
    <w:link w:val="30"/>
    <w:qFormat/>
    <w:uiPriority w:val="11"/>
    <w:rPr>
      <w:sz w:val="24"/>
      <w:szCs w:val="24"/>
    </w:rPr>
  </w:style>
  <w:style w:type="paragraph" w:styleId="102">
    <w:name w:val="Quote"/>
    <w:basedOn w:val="1"/>
    <w:next w:val="1"/>
    <w:link w:val="103"/>
    <w:qFormat/>
    <w:uiPriority w:val="29"/>
    <w:pPr>
      <w:ind w:left="720" w:right="720"/>
    </w:pPr>
    <w:rPr>
      <w:i/>
    </w:rPr>
  </w:style>
  <w:style w:type="character" w:customStyle="1" w:styleId="103">
    <w:name w:val="引用 字符"/>
    <w:link w:val="102"/>
    <w:qFormat/>
    <w:uiPriority w:val="29"/>
    <w:rPr>
      <w:i/>
    </w:rPr>
  </w:style>
  <w:style w:type="paragraph" w:styleId="104">
    <w:name w:val="Intense Quote"/>
    <w:basedOn w:val="1"/>
    <w:next w:val="1"/>
    <w:link w:val="10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5">
    <w:name w:val="明显引用 字符"/>
    <w:link w:val="104"/>
    <w:qFormat/>
    <w:uiPriority w:val="30"/>
    <w:rPr>
      <w:i/>
    </w:rPr>
  </w:style>
  <w:style w:type="character" w:customStyle="1" w:styleId="106">
    <w:name w:val="页眉 字符"/>
    <w:link w:val="27"/>
    <w:qFormat/>
    <w:uiPriority w:val="99"/>
  </w:style>
  <w:style w:type="character" w:customStyle="1" w:styleId="107">
    <w:name w:val="Footer Char"/>
    <w:qFormat/>
    <w:uiPriority w:val="99"/>
  </w:style>
  <w:style w:type="character" w:customStyle="1" w:styleId="108">
    <w:name w:val="页脚 字符"/>
    <w:link w:val="26"/>
    <w:qFormat/>
    <w:uiPriority w:val="99"/>
  </w:style>
  <w:style w:type="table" w:customStyle="1" w:styleId="109">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0">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1">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12">
    <w:name w:val="无格式表格 31"/>
    <w:qFormat/>
    <w:uiPriority w:val="99"/>
    <w:tblPr>
      <w:tblCellMar>
        <w:top w:w="0" w:type="dxa"/>
        <w:left w:w="0" w:type="dxa"/>
        <w:bottom w:w="0" w:type="dxa"/>
        <w:right w:w="0" w:type="dxa"/>
      </w:tblCellMar>
    </w:tblPr>
  </w:style>
  <w:style w:type="table" w:customStyle="1" w:styleId="113">
    <w:name w:val="无格式表格 41"/>
    <w:qFormat/>
    <w:uiPriority w:val="99"/>
    <w:tblPr>
      <w:tblCellMar>
        <w:top w:w="0" w:type="dxa"/>
        <w:left w:w="0" w:type="dxa"/>
        <w:bottom w:w="0" w:type="dxa"/>
        <w:right w:w="0" w:type="dxa"/>
      </w:tblCellMar>
    </w:tblPr>
  </w:style>
  <w:style w:type="table" w:customStyle="1" w:styleId="114">
    <w:name w:val="无格式表格 51"/>
    <w:qFormat/>
    <w:uiPriority w:val="99"/>
    <w:tblPr>
      <w:tblCellMar>
        <w:top w:w="0" w:type="dxa"/>
        <w:left w:w="0" w:type="dxa"/>
        <w:bottom w:w="0" w:type="dxa"/>
        <w:right w:w="0" w:type="dxa"/>
      </w:tblCellMar>
    </w:tblPr>
  </w:style>
  <w:style w:type="table" w:customStyle="1" w:styleId="115">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16">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17">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18">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9">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20">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21">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22">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3">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4">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5">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6">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7">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8">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9">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30">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31">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2">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3">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4">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5">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6">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37">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8">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39">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40">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41">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2">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3">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4">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5">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6">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7">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8">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9">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0">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1">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2">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3">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4">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5">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6">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7">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8">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9">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60">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61">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2">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63">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64">
    <w:name w:val="清单表 1 浅色1"/>
    <w:qFormat/>
    <w:uiPriority w:val="99"/>
    <w:tblPr>
      <w:tblCellMar>
        <w:top w:w="0" w:type="dxa"/>
        <w:left w:w="0" w:type="dxa"/>
        <w:bottom w:w="0" w:type="dxa"/>
        <w:right w:w="0" w:type="dxa"/>
      </w:tblCellMar>
    </w:tblPr>
  </w:style>
  <w:style w:type="table" w:customStyle="1" w:styleId="165">
    <w:name w:val="List Table 1 Light - Accent 1"/>
    <w:qFormat/>
    <w:uiPriority w:val="99"/>
    <w:tblPr>
      <w:tblCellMar>
        <w:top w:w="0" w:type="dxa"/>
        <w:left w:w="0" w:type="dxa"/>
        <w:bottom w:w="0" w:type="dxa"/>
        <w:right w:w="0" w:type="dxa"/>
      </w:tblCellMar>
    </w:tblPr>
  </w:style>
  <w:style w:type="table" w:customStyle="1" w:styleId="166">
    <w:name w:val="List Table 1 Light - Accent 2"/>
    <w:qFormat/>
    <w:uiPriority w:val="99"/>
    <w:tblPr>
      <w:tblCellMar>
        <w:top w:w="0" w:type="dxa"/>
        <w:left w:w="0" w:type="dxa"/>
        <w:bottom w:w="0" w:type="dxa"/>
        <w:right w:w="0" w:type="dxa"/>
      </w:tblCellMar>
    </w:tblPr>
  </w:style>
  <w:style w:type="table" w:customStyle="1" w:styleId="167">
    <w:name w:val="List Table 1 Light - Accent 3"/>
    <w:qFormat/>
    <w:uiPriority w:val="99"/>
    <w:tblPr>
      <w:tblCellMar>
        <w:top w:w="0" w:type="dxa"/>
        <w:left w:w="0" w:type="dxa"/>
        <w:bottom w:w="0" w:type="dxa"/>
        <w:right w:w="0" w:type="dxa"/>
      </w:tblCellMar>
    </w:tblPr>
  </w:style>
  <w:style w:type="table" w:customStyle="1" w:styleId="168">
    <w:name w:val="List Table 1 Light - Accent 4"/>
    <w:qFormat/>
    <w:uiPriority w:val="99"/>
    <w:tblPr>
      <w:tblCellMar>
        <w:top w:w="0" w:type="dxa"/>
        <w:left w:w="0" w:type="dxa"/>
        <w:bottom w:w="0" w:type="dxa"/>
        <w:right w:w="0" w:type="dxa"/>
      </w:tblCellMar>
    </w:tblPr>
  </w:style>
  <w:style w:type="table" w:customStyle="1" w:styleId="169">
    <w:name w:val="List Table 1 Light - Accent 5"/>
    <w:qFormat/>
    <w:uiPriority w:val="99"/>
    <w:tblPr>
      <w:tblCellMar>
        <w:top w:w="0" w:type="dxa"/>
        <w:left w:w="0" w:type="dxa"/>
        <w:bottom w:w="0" w:type="dxa"/>
        <w:right w:w="0" w:type="dxa"/>
      </w:tblCellMar>
    </w:tblPr>
  </w:style>
  <w:style w:type="table" w:customStyle="1" w:styleId="170">
    <w:name w:val="List Table 1 Light - Accent 6"/>
    <w:qFormat/>
    <w:uiPriority w:val="99"/>
    <w:tblPr>
      <w:tblCellMar>
        <w:top w:w="0" w:type="dxa"/>
        <w:left w:w="0" w:type="dxa"/>
        <w:bottom w:w="0" w:type="dxa"/>
        <w:right w:w="0" w:type="dxa"/>
      </w:tblCellMar>
    </w:tblPr>
  </w:style>
  <w:style w:type="table" w:customStyle="1" w:styleId="171">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72">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73">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74">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5">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6">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7">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8">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9">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80">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81">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82">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83">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84">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5">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6">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7">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88">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9">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90">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91">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92">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93">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94">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95">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96">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97">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98">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99">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200">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201">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202">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203">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04">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05">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06">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207">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08">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09">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10">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11">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12">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13">
    <w:name w:val="Lined - Accent"/>
    <w:qFormat/>
    <w:uiPriority w:val="99"/>
    <w:rPr>
      <w:color w:val="404040"/>
    </w:rPr>
    <w:tblPr>
      <w:tblCellMar>
        <w:top w:w="0" w:type="dxa"/>
        <w:left w:w="0" w:type="dxa"/>
        <w:bottom w:w="0" w:type="dxa"/>
        <w:right w:w="0" w:type="dxa"/>
      </w:tblCellMar>
    </w:tblPr>
  </w:style>
  <w:style w:type="table" w:customStyle="1" w:styleId="214">
    <w:name w:val="Lined - Accent 1"/>
    <w:qFormat/>
    <w:uiPriority w:val="99"/>
    <w:rPr>
      <w:color w:val="404040"/>
    </w:rPr>
    <w:tblPr>
      <w:tblCellMar>
        <w:top w:w="0" w:type="dxa"/>
        <w:left w:w="0" w:type="dxa"/>
        <w:bottom w:w="0" w:type="dxa"/>
        <w:right w:w="0" w:type="dxa"/>
      </w:tblCellMar>
    </w:tblPr>
  </w:style>
  <w:style w:type="table" w:customStyle="1" w:styleId="215">
    <w:name w:val="Lined - Accent 2"/>
    <w:qFormat/>
    <w:uiPriority w:val="99"/>
    <w:rPr>
      <w:color w:val="404040"/>
    </w:rPr>
    <w:tblPr>
      <w:tblCellMar>
        <w:top w:w="0" w:type="dxa"/>
        <w:left w:w="0" w:type="dxa"/>
        <w:bottom w:w="0" w:type="dxa"/>
        <w:right w:w="0" w:type="dxa"/>
      </w:tblCellMar>
    </w:tblPr>
  </w:style>
  <w:style w:type="table" w:customStyle="1" w:styleId="216">
    <w:name w:val="Lined - Accent 3"/>
    <w:qFormat/>
    <w:uiPriority w:val="99"/>
    <w:rPr>
      <w:color w:val="404040"/>
    </w:rPr>
    <w:tblPr>
      <w:tblCellMar>
        <w:top w:w="0" w:type="dxa"/>
        <w:left w:w="0" w:type="dxa"/>
        <w:bottom w:w="0" w:type="dxa"/>
        <w:right w:w="0" w:type="dxa"/>
      </w:tblCellMar>
    </w:tblPr>
  </w:style>
  <w:style w:type="table" w:customStyle="1" w:styleId="217">
    <w:name w:val="Lined - Accent 4"/>
    <w:qFormat/>
    <w:uiPriority w:val="99"/>
    <w:rPr>
      <w:color w:val="404040"/>
    </w:rPr>
    <w:tblPr>
      <w:tblCellMar>
        <w:top w:w="0" w:type="dxa"/>
        <w:left w:w="0" w:type="dxa"/>
        <w:bottom w:w="0" w:type="dxa"/>
        <w:right w:w="0" w:type="dxa"/>
      </w:tblCellMar>
    </w:tblPr>
  </w:style>
  <w:style w:type="table" w:customStyle="1" w:styleId="218">
    <w:name w:val="Lined - Accent 5"/>
    <w:qFormat/>
    <w:uiPriority w:val="99"/>
    <w:rPr>
      <w:color w:val="404040"/>
    </w:rPr>
    <w:tblPr>
      <w:tblCellMar>
        <w:top w:w="0" w:type="dxa"/>
        <w:left w:w="0" w:type="dxa"/>
        <w:bottom w:w="0" w:type="dxa"/>
        <w:right w:w="0" w:type="dxa"/>
      </w:tblCellMar>
    </w:tblPr>
  </w:style>
  <w:style w:type="table" w:customStyle="1" w:styleId="219">
    <w:name w:val="Lined - Accent 6"/>
    <w:qFormat/>
    <w:uiPriority w:val="99"/>
    <w:rPr>
      <w:color w:val="404040"/>
    </w:rPr>
    <w:tblPr>
      <w:tblCellMar>
        <w:top w:w="0" w:type="dxa"/>
        <w:left w:w="0" w:type="dxa"/>
        <w:bottom w:w="0" w:type="dxa"/>
        <w:right w:w="0" w:type="dxa"/>
      </w:tblCellMar>
    </w:tblPr>
  </w:style>
  <w:style w:type="table" w:customStyle="1" w:styleId="220">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21">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22">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23">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24">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5">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6">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7">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28">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29">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30">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31">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32">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33">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34">
    <w:name w:val="脚注文本 字符"/>
    <w:link w:val="31"/>
    <w:qFormat/>
    <w:uiPriority w:val="99"/>
    <w:rPr>
      <w:sz w:val="18"/>
    </w:rPr>
  </w:style>
  <w:style w:type="character" w:customStyle="1" w:styleId="235">
    <w:name w:val="尾注文本 字符"/>
    <w:link w:val="24"/>
    <w:qFormat/>
    <w:uiPriority w:val="99"/>
    <w:rPr>
      <w:sz w:val="20"/>
    </w:rPr>
  </w:style>
  <w:style w:type="paragraph" w:customStyle="1" w:styleId="236">
    <w:name w:val="TOC 标题1"/>
    <w:basedOn w:val="3"/>
    <w:next w:val="1"/>
    <w:qFormat/>
    <w:uiPriority w:val="39"/>
    <w:pPr>
      <w:outlineLvl w:val="9"/>
    </w:pPr>
  </w:style>
  <w:style w:type="character" w:customStyle="1" w:styleId="237">
    <w:name w:val="标题 1 字符"/>
    <w:link w:val="3"/>
    <w:qFormat/>
    <w:uiPriority w:val="9"/>
    <w:rPr>
      <w:b/>
      <w:bCs/>
      <w:sz w:val="44"/>
      <w:szCs w:val="44"/>
    </w:rPr>
  </w:style>
  <w:style w:type="character" w:customStyle="1" w:styleId="238">
    <w:name w:val="正文缩进 字符"/>
    <w:link w:val="12"/>
    <w:qFormat/>
    <w:uiPriority w:val="0"/>
    <w:rPr>
      <w:sz w:val="21"/>
      <w:szCs w:val="24"/>
    </w:rPr>
  </w:style>
  <w:style w:type="character" w:customStyle="1" w:styleId="239">
    <w:name w:val="文档结构图 字符"/>
    <w:link w:val="14"/>
    <w:qFormat/>
    <w:uiPriority w:val="0"/>
    <w:rPr>
      <w:rFonts w:ascii="宋体"/>
      <w:sz w:val="18"/>
      <w:szCs w:val="18"/>
    </w:rPr>
  </w:style>
  <w:style w:type="character" w:customStyle="1" w:styleId="240">
    <w:name w:val="批注文字 字符"/>
    <w:link w:val="15"/>
    <w:qFormat/>
    <w:uiPriority w:val="0"/>
    <w:rPr>
      <w:sz w:val="21"/>
    </w:rPr>
  </w:style>
  <w:style w:type="character" w:customStyle="1" w:styleId="241">
    <w:name w:val="正文文本 字符"/>
    <w:link w:val="16"/>
    <w:qFormat/>
    <w:uiPriority w:val="0"/>
    <w:rPr>
      <w:rFonts w:ascii="Tahoma" w:hAnsi="Tahoma"/>
      <w:sz w:val="21"/>
      <w:szCs w:val="24"/>
    </w:rPr>
  </w:style>
  <w:style w:type="character" w:customStyle="1" w:styleId="242">
    <w:name w:val="批注框文本 字符"/>
    <w:link w:val="25"/>
    <w:qFormat/>
    <w:uiPriority w:val="0"/>
    <w:rPr>
      <w:sz w:val="18"/>
      <w:szCs w:val="18"/>
    </w:rPr>
  </w:style>
  <w:style w:type="character" w:customStyle="1" w:styleId="243">
    <w:name w:val="font01"/>
    <w:qFormat/>
    <w:uiPriority w:val="0"/>
    <w:rPr>
      <w:rFonts w:ascii="Calibri" w:hAnsi="Calibri" w:cs="Calibri"/>
      <w:color w:val="000000"/>
      <w:sz w:val="20"/>
      <w:szCs w:val="20"/>
      <w:u w:val="none"/>
    </w:rPr>
  </w:style>
  <w:style w:type="character" w:customStyle="1" w:styleId="244">
    <w:name w:val="font31"/>
    <w:qFormat/>
    <w:uiPriority w:val="0"/>
    <w:rPr>
      <w:rFonts w:hint="eastAsia" w:ascii="宋体" w:hAnsi="宋体" w:eastAsia="宋体" w:cs="宋体"/>
      <w:color w:val="000000"/>
      <w:sz w:val="20"/>
      <w:szCs w:val="20"/>
      <w:u w:val="none"/>
    </w:rPr>
  </w:style>
  <w:style w:type="character" w:customStyle="1" w:styleId="245">
    <w:name w:val="font11"/>
    <w:qFormat/>
    <w:uiPriority w:val="0"/>
    <w:rPr>
      <w:rFonts w:hint="eastAsia" w:ascii="宋体" w:hAnsi="宋体" w:eastAsia="宋体" w:cs="宋体"/>
      <w:color w:val="000000"/>
      <w:sz w:val="20"/>
      <w:szCs w:val="20"/>
      <w:u w:val="none"/>
    </w:rPr>
  </w:style>
  <w:style w:type="character" w:customStyle="1" w:styleId="246">
    <w:name w:val="font21"/>
    <w:qFormat/>
    <w:uiPriority w:val="0"/>
    <w:rPr>
      <w:rFonts w:hint="eastAsia" w:ascii="宋体" w:hAnsi="宋体" w:eastAsia="宋体" w:cs="宋体"/>
      <w:color w:val="000000"/>
      <w:sz w:val="20"/>
      <w:szCs w:val="20"/>
      <w:u w:val="none"/>
    </w:rPr>
  </w:style>
  <w:style w:type="character" w:customStyle="1" w:styleId="247">
    <w:name w:val="font51"/>
    <w:qFormat/>
    <w:uiPriority w:val="0"/>
    <w:rPr>
      <w:rFonts w:hint="eastAsia" w:ascii="宋体" w:hAnsi="宋体" w:eastAsia="宋体" w:cs="宋体"/>
      <w:color w:val="FF0000"/>
      <w:sz w:val="20"/>
      <w:szCs w:val="20"/>
      <w:u w:val="none"/>
    </w:rPr>
  </w:style>
  <w:style w:type="paragraph" w:customStyle="1" w:styleId="248">
    <w:name w:val="普通正文"/>
    <w:qFormat/>
    <w:uiPriority w:val="0"/>
    <w:pPr>
      <w:widowControl w:val="0"/>
      <w:spacing w:before="120" w:after="120" w:line="360" w:lineRule="auto"/>
      <w:ind w:firstLine="480"/>
    </w:pPr>
    <w:rPr>
      <w:rFonts w:hint="default" w:ascii="Arial" w:hAnsi="Arial" w:eastAsia="宋体" w:cs="Times New Roman"/>
      <w:sz w:val="24"/>
      <w:szCs w:val="24"/>
    </w:rPr>
  </w:style>
  <w:style w:type="paragraph" w:customStyle="1" w:styleId="24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E691D-2ADF-42D6-B000-58ACE73848C0}">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65</Pages>
  <Words>39204</Words>
  <Characters>41978</Characters>
  <TotalTime>26</TotalTime>
  <ScaleCrop>false</ScaleCrop>
  <LinksUpToDate>false</LinksUpToDate>
  <CharactersWithSpaces>43538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2023-04-28T02:24:00Z</dcterms:created>
  <dc:creator>Administrator</dc:creator>
  <cp:lastModifiedBy>申然</cp:lastModifiedBy>
  <dcterms:modified xsi:type="dcterms:W3CDTF">2023-08-29T02:48:39Z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DA92FF0374E648609A4C1ED8C0E44E1F_13</vt:lpwstr>
  </property>
</Properties>
</file>