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color w:val="auto"/>
          <w:sz w:val="32"/>
          <w:szCs w:val="32"/>
        </w:rPr>
      </w:pPr>
      <w:r>
        <w:rPr>
          <w:rFonts w:ascii="宋体"/>
          <w:b/>
          <w:bCs/>
          <w:color w:val="auto"/>
          <w:sz w:val="32"/>
          <w:szCs w:val="32"/>
        </w:rPr>
        <w:drawing>
          <wp:inline distT="0" distB="0" distL="0" distR="0">
            <wp:extent cx="5844540" cy="83362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5844539" cy="8336279"/>
                    </a:xfrm>
                    <a:prstGeom prst="rect">
                      <a:avLst/>
                    </a:prstGeom>
                    <a:noFill/>
                    <a:ln>
                      <a:noFill/>
                      <a:miter/>
                    </a:ln>
                  </pic:spPr>
                </pic:pic>
              </a:graphicData>
            </a:graphic>
          </wp:inline>
        </w:drawing>
      </w:r>
    </w:p>
    <w:p>
      <w:pPr>
        <w:spacing w:line="360" w:lineRule="auto"/>
        <w:rPr>
          <w:rFonts w:ascii="宋体"/>
          <w:b/>
          <w:bCs/>
          <w:color w:val="auto"/>
          <w:sz w:val="32"/>
          <w:szCs w:val="32"/>
        </w:rPr>
      </w:pPr>
    </w:p>
    <w:p>
      <w:pPr>
        <w:spacing w:line="480" w:lineRule="exact"/>
        <w:ind w:firstLine="643"/>
        <w:jc w:val="center"/>
        <w:rPr>
          <w:rFonts w:ascii="宋体"/>
          <w:b/>
          <w:bCs/>
          <w:color w:val="auto"/>
          <w:sz w:val="32"/>
          <w:szCs w:val="32"/>
        </w:rPr>
      </w:pPr>
    </w:p>
    <w:p>
      <w:pPr>
        <w:spacing w:line="480" w:lineRule="exact"/>
        <w:ind w:firstLine="643"/>
        <w:jc w:val="center"/>
        <w:rPr>
          <w:rFonts w:ascii="宋体"/>
          <w:b/>
          <w:bCs/>
          <w:color w:val="auto"/>
          <w:sz w:val="32"/>
          <w:szCs w:val="32"/>
        </w:rPr>
      </w:pPr>
      <w:r>
        <w:rPr>
          <w:rFonts w:hint="eastAsia" w:ascii="宋体" w:hAnsi="宋体" w:cs="宋体"/>
          <w:b/>
          <w:bCs/>
          <w:color w:val="auto"/>
          <w:sz w:val="32"/>
          <w:szCs w:val="32"/>
        </w:rPr>
        <w:t>目</w:t>
      </w:r>
      <w:r>
        <w:rPr>
          <w:rFonts w:ascii="宋体" w:hAnsi="宋体" w:cs="宋体"/>
          <w:b/>
          <w:bCs/>
          <w:color w:val="auto"/>
          <w:sz w:val="32"/>
          <w:szCs w:val="32"/>
        </w:rPr>
        <w:t xml:space="preserve">  </w:t>
      </w:r>
      <w:r>
        <w:rPr>
          <w:rFonts w:hint="eastAsia" w:ascii="宋体" w:hAnsi="宋体" w:cs="宋体"/>
          <w:b/>
          <w:bCs/>
          <w:color w:val="auto"/>
          <w:sz w:val="32"/>
          <w:szCs w:val="32"/>
        </w:rPr>
        <w:t>录</w:t>
      </w:r>
    </w:p>
    <w:p>
      <w:pPr>
        <w:pStyle w:val="31"/>
        <w:tabs>
          <w:tab w:val="right" w:leader="dot" w:pos="9072"/>
          <w:tab w:val="clear" w:pos="9638"/>
        </w:tabs>
        <w:rPr>
          <w:rStyle w:val="49"/>
          <w:rFonts w:ascii="宋体"/>
          <w:color w:val="auto"/>
        </w:rPr>
      </w:pPr>
      <w:bookmarkStart w:id="0" w:name="_Hlk132704898"/>
      <w:r>
        <w:rPr>
          <w:rFonts w:ascii="宋体" w:hAnsi="宋体" w:cs="宋体"/>
          <w:color w:val="auto"/>
        </w:rPr>
        <w:fldChar w:fldCharType="begin"/>
      </w:r>
      <w:r>
        <w:rPr>
          <w:rFonts w:ascii="宋体" w:hAnsi="宋体" w:cs="宋体"/>
          <w:color w:val="auto"/>
        </w:rPr>
        <w:instrText xml:space="preserve"> TOC \o "1-3" \h \z \u </w:instrText>
      </w:r>
      <w:r>
        <w:rPr>
          <w:rFonts w:ascii="宋体" w:hAnsi="宋体" w:cs="宋体"/>
          <w:color w:val="auto"/>
        </w:rPr>
        <w:fldChar w:fldCharType="separate"/>
      </w:r>
      <w:r>
        <w:rPr>
          <w:color w:val="auto"/>
        </w:rPr>
        <w:fldChar w:fldCharType="begin"/>
      </w:r>
      <w:r>
        <w:rPr>
          <w:color w:val="auto"/>
        </w:rPr>
        <w:instrText xml:space="preserve"> HYPERLINK \l "_Toc130206638" </w:instrText>
      </w:r>
      <w:r>
        <w:rPr>
          <w:color w:val="auto"/>
        </w:rPr>
        <w:fldChar w:fldCharType="separate"/>
      </w:r>
      <w:r>
        <w:rPr>
          <w:rStyle w:val="49"/>
          <w:rFonts w:hint="eastAsia" w:ascii="宋体" w:hAnsi="宋体" w:cs="宋体"/>
          <w:color w:val="auto"/>
        </w:rPr>
        <w:t>第一章招标公告</w:t>
      </w:r>
      <w:r>
        <w:rPr>
          <w:rStyle w:val="49"/>
          <w:rFonts w:ascii="宋体"/>
          <w:color w:val="auto"/>
        </w:rPr>
        <w:tab/>
      </w:r>
      <w:r>
        <w:rPr>
          <w:rStyle w:val="49"/>
          <w:rFonts w:hint="eastAsia" w:ascii="宋体" w:hAnsi="宋体" w:cs="宋体"/>
          <w:color w:val="auto"/>
          <w:lang w:val="en-US" w:eastAsia="zh-CN"/>
        </w:rPr>
        <w:t>1</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"_Toc130206640" </w:instrText>
      </w:r>
      <w:r>
        <w:rPr>
          <w:color w:val="auto"/>
        </w:rPr>
        <w:fldChar w:fldCharType="separate"/>
      </w:r>
      <w:r>
        <w:rPr>
          <w:rStyle w:val="49"/>
          <w:rFonts w:hint="eastAsia" w:ascii="宋体" w:hAnsi="宋体" w:cs="宋体"/>
          <w:color w:val="auto"/>
        </w:rPr>
        <w:t>第二章投标须知</w:t>
      </w:r>
      <w:r>
        <w:rPr>
          <w:rStyle w:val="49"/>
          <w:rFonts w:ascii="宋体"/>
          <w:color w:val="auto"/>
        </w:rPr>
        <w:tab/>
      </w:r>
      <w:r>
        <w:rPr>
          <w:rStyle w:val="49"/>
          <w:rFonts w:hint="eastAsia" w:ascii="宋体" w:hAnsi="宋体" w:cs="宋体"/>
          <w:color w:val="auto"/>
          <w:lang w:val="en-US" w:eastAsia="zh-CN"/>
        </w:rPr>
        <w:t>5</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"_Toc130206641" </w:instrText>
      </w:r>
      <w:r>
        <w:rPr>
          <w:color w:val="auto"/>
        </w:rPr>
        <w:fldChar w:fldCharType="separate"/>
      </w:r>
      <w:r>
        <w:rPr>
          <w:rStyle w:val="49"/>
          <w:rFonts w:hint="eastAsia" w:ascii="宋体" w:hAnsi="宋体" w:cs="宋体"/>
          <w:color w:val="auto"/>
        </w:rPr>
        <w:t>一、投标须知前附表</w:t>
      </w:r>
      <w:r>
        <w:rPr>
          <w:rStyle w:val="49"/>
          <w:rFonts w:ascii="宋体"/>
          <w:color w:val="auto"/>
        </w:rPr>
        <w:tab/>
      </w:r>
      <w:r>
        <w:rPr>
          <w:rStyle w:val="49"/>
          <w:rFonts w:hint="eastAsia" w:ascii="宋体" w:hAnsi="宋体" w:cs="宋体"/>
          <w:color w:val="auto"/>
          <w:lang w:val="en-US" w:eastAsia="zh-CN"/>
        </w:rPr>
        <w:t>5</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"_Toc130206642" </w:instrText>
      </w:r>
      <w:r>
        <w:rPr>
          <w:color w:val="auto"/>
        </w:rPr>
        <w:fldChar w:fldCharType="separate"/>
      </w:r>
      <w:r>
        <w:rPr>
          <w:rStyle w:val="49"/>
          <w:rFonts w:hint="eastAsia" w:ascii="宋体" w:hAnsi="宋体" w:cs="宋体"/>
          <w:color w:val="auto"/>
        </w:rPr>
        <w:t>二、总则</w:t>
      </w:r>
      <w:r>
        <w:rPr>
          <w:rStyle w:val="49"/>
          <w:rFonts w:ascii="宋体"/>
          <w:color w:val="auto"/>
        </w:rPr>
        <w:tab/>
      </w:r>
      <w:r>
        <w:rPr>
          <w:rStyle w:val="49"/>
          <w:rFonts w:hint="eastAsia" w:ascii="宋体" w:hAnsi="宋体" w:cs="宋体"/>
          <w:color w:val="auto"/>
          <w:lang w:val="en-US" w:eastAsia="zh-CN"/>
        </w:rPr>
        <w:t>6</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"_Toc130206643" </w:instrText>
      </w:r>
      <w:r>
        <w:rPr>
          <w:color w:val="auto"/>
        </w:rPr>
        <w:fldChar w:fldCharType="separate"/>
      </w:r>
      <w:r>
        <w:rPr>
          <w:rStyle w:val="49"/>
          <w:rFonts w:hint="eastAsia" w:ascii="宋体" w:hAnsi="宋体" w:cs="宋体"/>
          <w:color w:val="auto"/>
        </w:rPr>
        <w:t>三、招标文件</w:t>
      </w:r>
      <w:r>
        <w:rPr>
          <w:rStyle w:val="49"/>
          <w:rFonts w:ascii="宋体"/>
          <w:color w:val="auto"/>
        </w:rPr>
        <w:tab/>
      </w:r>
      <w:r>
        <w:rPr>
          <w:rStyle w:val="49"/>
          <w:rFonts w:hint="eastAsia" w:ascii="宋体" w:hAnsi="宋体" w:cs="宋体"/>
          <w:color w:val="auto"/>
          <w:lang w:val="en-US" w:eastAsia="zh-CN"/>
        </w:rPr>
        <w:t>6</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"_Toc130206644" </w:instrText>
      </w:r>
      <w:r>
        <w:rPr>
          <w:color w:val="auto"/>
        </w:rPr>
        <w:fldChar w:fldCharType="separate"/>
      </w:r>
      <w:r>
        <w:rPr>
          <w:rStyle w:val="49"/>
          <w:rFonts w:hint="eastAsia" w:ascii="宋体" w:hAnsi="宋体" w:cs="宋体"/>
          <w:color w:val="auto"/>
        </w:rPr>
        <w:t>四、投标文件</w:t>
      </w:r>
      <w:r>
        <w:rPr>
          <w:rStyle w:val="49"/>
          <w:rFonts w:ascii="宋体"/>
          <w:color w:val="auto"/>
        </w:rPr>
        <w:tab/>
      </w:r>
      <w:r>
        <w:rPr>
          <w:rStyle w:val="49"/>
          <w:rFonts w:hint="eastAsia" w:ascii="宋体" w:hAnsi="宋体" w:cs="宋体"/>
          <w:color w:val="auto"/>
          <w:lang w:val="en-US" w:eastAsia="zh-CN"/>
        </w:rPr>
        <w:t>7</w:t>
      </w:r>
      <w:r>
        <w:rPr>
          <w:rStyle w:val="49"/>
          <w:rFonts w:ascii="宋体" w:hAnsi="宋体" w:cs="宋体"/>
          <w:color w:val="auto"/>
        </w:rPr>
        <w:fldChar w:fldCharType="end"/>
      </w:r>
    </w:p>
    <w:p>
      <w:pPr>
        <w:pStyle w:val="31"/>
        <w:tabs>
          <w:tab w:val="right" w:leader="dot" w:pos="9072"/>
          <w:tab w:val="clear" w:pos="9638"/>
        </w:tabs>
        <w:rPr>
          <w:rStyle w:val="49"/>
          <w:rFonts w:hint="eastAsia" w:ascii="宋体" w:eastAsia="宋体"/>
          <w:color w:val="auto"/>
          <w:lang w:val="en-US" w:eastAsia="zh-CN"/>
        </w:rPr>
      </w:pPr>
      <w:r>
        <w:rPr>
          <w:color w:val="auto"/>
        </w:rPr>
        <w:fldChar w:fldCharType="begin"/>
      </w:r>
      <w:r>
        <w:rPr>
          <w:color w:val="auto"/>
        </w:rPr>
        <w:instrText xml:space="preserve"> HYPERLINK \l "_Toc130206645" </w:instrText>
      </w:r>
      <w:r>
        <w:rPr>
          <w:color w:val="auto"/>
        </w:rPr>
        <w:fldChar w:fldCharType="separate"/>
      </w:r>
      <w:r>
        <w:rPr>
          <w:rStyle w:val="49"/>
          <w:rFonts w:hint="eastAsia" w:ascii="宋体" w:hAnsi="宋体" w:cs="宋体"/>
          <w:color w:val="auto"/>
        </w:rPr>
        <w:t>五、开标及资格审查</w:t>
      </w:r>
      <w:r>
        <w:rPr>
          <w:rStyle w:val="49"/>
          <w:rFonts w:ascii="宋体"/>
          <w:color w:val="auto"/>
        </w:rPr>
        <w:tab/>
      </w:r>
      <w:r>
        <w:rPr>
          <w:rStyle w:val="49"/>
          <w:rFonts w:hint="eastAsia" w:ascii="宋体" w:hAnsi="宋体" w:cs="宋体"/>
          <w:color w:val="auto"/>
          <w:lang w:val="en-US" w:eastAsia="zh-CN"/>
        </w:rPr>
        <w:t>1</w:t>
      </w:r>
      <w:r>
        <w:rPr>
          <w:rStyle w:val="49"/>
          <w:rFonts w:ascii="宋体" w:hAnsi="宋体" w:cs="宋体"/>
          <w:color w:val="auto"/>
        </w:rPr>
        <w:fldChar w:fldCharType="end"/>
      </w:r>
      <w:r>
        <w:rPr>
          <w:rStyle w:val="49"/>
          <w:rFonts w:hint="eastAsia" w:ascii="宋体" w:hAnsi="宋体" w:cs="宋体"/>
          <w:color w:val="auto"/>
          <w:lang w:val="en-US" w:eastAsia="zh-CN"/>
        </w:rPr>
        <w:t>2</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"_Toc130206646" </w:instrText>
      </w:r>
      <w:r>
        <w:rPr>
          <w:color w:val="auto"/>
        </w:rPr>
        <w:fldChar w:fldCharType="separate"/>
      </w:r>
      <w:r>
        <w:rPr>
          <w:rStyle w:val="49"/>
          <w:rFonts w:hint="eastAsia" w:ascii="宋体" w:hAnsi="宋体" w:cs="宋体"/>
          <w:color w:val="auto"/>
        </w:rPr>
        <w:t>六、评标</w:t>
      </w:r>
      <w:r>
        <w:rPr>
          <w:rStyle w:val="49"/>
          <w:rFonts w:ascii="宋体"/>
          <w:color w:val="auto"/>
        </w:rPr>
        <w:tab/>
      </w:r>
      <w:r>
        <w:rPr>
          <w:rStyle w:val="49"/>
          <w:rFonts w:ascii="宋体" w:hAnsi="宋体" w:cs="宋体"/>
          <w:color w:val="auto"/>
        </w:rPr>
        <w:fldChar w:fldCharType="begin"/>
      </w:r>
      <w:r>
        <w:rPr>
          <w:rStyle w:val="49"/>
          <w:rFonts w:ascii="宋体" w:hAnsi="宋体" w:cs="宋体"/>
          <w:color w:val="auto"/>
        </w:rPr>
        <w:instrText xml:space="preserve"> PAGEREF _Toc130206646 \h </w:instrText>
      </w:r>
      <w:r>
        <w:rPr>
          <w:rStyle w:val="49"/>
          <w:rFonts w:ascii="宋体" w:hAnsi="宋体" w:cs="宋体"/>
          <w:color w:val="auto"/>
        </w:rPr>
        <w:fldChar w:fldCharType="separate"/>
      </w:r>
      <w:r>
        <w:rPr>
          <w:rStyle w:val="49"/>
          <w:rFonts w:ascii="宋体" w:hAnsi="宋体" w:cs="宋体"/>
          <w:color w:val="auto"/>
        </w:rPr>
        <w:t>13</w:t>
      </w:r>
      <w:r>
        <w:rPr>
          <w:rStyle w:val="49"/>
          <w:rFonts w:ascii="宋体" w:hAnsi="宋体" w:cs="宋体"/>
          <w:color w:val="auto"/>
        </w:rPr>
        <w:fldChar w:fldCharType="end"/>
      </w:r>
      <w:r>
        <w:rPr>
          <w:rStyle w:val="49"/>
          <w:rFonts w:ascii="宋体" w:hAnsi="宋体" w:cs="宋体"/>
          <w:color w:val="auto"/>
        </w:rPr>
        <w:fldChar w:fldCharType="end"/>
      </w:r>
    </w:p>
    <w:p>
      <w:pPr>
        <w:pStyle w:val="31"/>
        <w:tabs>
          <w:tab w:val="right" w:leader="dot" w:pos="9072"/>
          <w:tab w:val="clear" w:pos="9638"/>
        </w:tabs>
        <w:rPr>
          <w:rStyle w:val="49"/>
          <w:rFonts w:hint="eastAsia" w:ascii="宋体" w:eastAsia="宋体"/>
          <w:color w:val="auto"/>
          <w:lang w:val="en-US" w:eastAsia="zh-CN"/>
        </w:rPr>
      </w:pPr>
      <w:r>
        <w:rPr>
          <w:color w:val="auto"/>
        </w:rPr>
        <w:fldChar w:fldCharType="begin"/>
      </w:r>
      <w:r>
        <w:rPr>
          <w:color w:val="auto"/>
        </w:rPr>
        <w:instrText xml:space="preserve"> HYPERLINK \l "_Toc130206647" </w:instrText>
      </w:r>
      <w:r>
        <w:rPr>
          <w:color w:val="auto"/>
        </w:rPr>
        <w:fldChar w:fldCharType="separate"/>
      </w:r>
      <w:r>
        <w:rPr>
          <w:rStyle w:val="49"/>
          <w:rFonts w:hint="eastAsia" w:ascii="宋体" w:hAnsi="宋体" w:cs="宋体"/>
          <w:color w:val="auto"/>
        </w:rPr>
        <w:t>七、定标</w:t>
      </w:r>
      <w:r>
        <w:rPr>
          <w:rStyle w:val="49"/>
          <w:rFonts w:ascii="宋体"/>
          <w:color w:val="auto"/>
        </w:rPr>
        <w:tab/>
      </w:r>
      <w:r>
        <w:rPr>
          <w:rStyle w:val="49"/>
          <w:rFonts w:hint="eastAsia" w:ascii="宋体" w:hAnsi="宋体" w:cs="宋体"/>
          <w:color w:val="auto"/>
          <w:lang w:val="en-US" w:eastAsia="zh-CN"/>
        </w:rPr>
        <w:t>1</w:t>
      </w:r>
      <w:r>
        <w:rPr>
          <w:rStyle w:val="49"/>
          <w:rFonts w:ascii="宋体" w:hAnsi="宋体" w:cs="宋体"/>
          <w:color w:val="auto"/>
        </w:rPr>
        <w:fldChar w:fldCharType="end"/>
      </w:r>
      <w:r>
        <w:rPr>
          <w:rStyle w:val="49"/>
          <w:rFonts w:hint="eastAsia" w:ascii="宋体" w:hAnsi="宋体" w:cs="宋体"/>
          <w:color w:val="auto"/>
          <w:lang w:val="en-US" w:eastAsia="zh-CN"/>
        </w:rPr>
        <w:t>5</w:t>
      </w:r>
    </w:p>
    <w:p>
      <w:pPr>
        <w:pStyle w:val="31"/>
        <w:tabs>
          <w:tab w:val="right" w:leader="dot" w:pos="9072"/>
          <w:tab w:val="clear" w:pos="9638"/>
        </w:tabs>
        <w:rPr>
          <w:rStyle w:val="49"/>
          <w:rFonts w:hint="eastAsia" w:ascii="宋体" w:eastAsia="宋体"/>
          <w:color w:val="auto"/>
          <w:lang w:val="en-US" w:eastAsia="zh-CN"/>
        </w:rPr>
      </w:pPr>
      <w:r>
        <w:rPr>
          <w:color w:val="auto"/>
        </w:rPr>
        <w:fldChar w:fldCharType="begin"/>
      </w:r>
      <w:r>
        <w:rPr>
          <w:color w:val="auto"/>
        </w:rPr>
        <w:instrText xml:space="preserve"> HYPERLINK \l "_Toc130206648" </w:instrText>
      </w:r>
      <w:r>
        <w:rPr>
          <w:color w:val="auto"/>
        </w:rPr>
        <w:fldChar w:fldCharType="separate"/>
      </w:r>
      <w:r>
        <w:rPr>
          <w:rStyle w:val="49"/>
          <w:rFonts w:hint="eastAsia" w:ascii="宋体" w:hAnsi="宋体" w:cs="宋体"/>
          <w:color w:val="auto"/>
        </w:rPr>
        <w:t>第三章招标内容及要求</w:t>
      </w:r>
      <w:r>
        <w:rPr>
          <w:rStyle w:val="49"/>
          <w:rFonts w:ascii="宋体"/>
          <w:color w:val="auto"/>
        </w:rPr>
        <w:tab/>
      </w:r>
      <w:r>
        <w:rPr>
          <w:rStyle w:val="49"/>
          <w:rFonts w:hint="eastAsia" w:ascii="宋体" w:hAnsi="宋体" w:cs="宋体"/>
          <w:color w:val="auto"/>
          <w:lang w:val="en-US" w:eastAsia="zh-CN"/>
        </w:rPr>
        <w:t>1</w:t>
      </w:r>
      <w:r>
        <w:rPr>
          <w:rStyle w:val="49"/>
          <w:rFonts w:ascii="宋体" w:hAnsi="宋体" w:cs="宋体"/>
          <w:color w:val="auto"/>
        </w:rPr>
        <w:fldChar w:fldCharType="end"/>
      </w:r>
      <w:r>
        <w:rPr>
          <w:rStyle w:val="49"/>
          <w:rFonts w:hint="eastAsia" w:ascii="宋体" w:hAnsi="宋体" w:cs="宋体"/>
          <w:color w:val="auto"/>
          <w:lang w:val="en-US" w:eastAsia="zh-CN"/>
        </w:rPr>
        <w:t>9</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"_Toc130206649" </w:instrText>
      </w:r>
      <w:r>
        <w:rPr>
          <w:color w:val="auto"/>
        </w:rPr>
        <w:fldChar w:fldCharType="separate"/>
      </w:r>
      <w:r>
        <w:rPr>
          <w:rStyle w:val="49"/>
          <w:rFonts w:hint="eastAsia" w:ascii="宋体" w:hAnsi="宋体" w:cs="宋体"/>
          <w:color w:val="auto"/>
        </w:rPr>
        <w:t>第四章评标办法及评分标准</w:t>
      </w:r>
      <w:r>
        <w:rPr>
          <w:rStyle w:val="49"/>
          <w:rFonts w:ascii="宋体"/>
          <w:color w:val="auto"/>
        </w:rPr>
        <w:tab/>
      </w:r>
      <w:r>
        <w:rPr>
          <w:rStyle w:val="49"/>
          <w:rFonts w:ascii="宋体" w:hAnsi="宋体" w:cs="宋体"/>
          <w:color w:val="auto"/>
        </w:rPr>
        <w:t>33</w:t>
      </w:r>
      <w:r>
        <w:rPr>
          <w:rStyle w:val="49"/>
          <w:rFonts w:ascii="宋体" w:hAnsi="宋体" w:cs="宋体"/>
          <w:color w:val="auto"/>
        </w:rPr>
        <w:fldChar w:fldCharType="end"/>
      </w:r>
    </w:p>
    <w:p>
      <w:pPr>
        <w:pStyle w:val="31"/>
        <w:tabs>
          <w:tab w:val="right" w:leader="dot" w:pos="9072"/>
          <w:tab w:val="clear" w:pos="9638"/>
        </w:tabs>
        <w:rPr>
          <w:rStyle w:val="49"/>
          <w:rFonts w:hint="eastAsia" w:ascii="宋体" w:eastAsia="宋体"/>
          <w:color w:val="auto"/>
          <w:lang w:val="en-US" w:eastAsia="zh-CN"/>
        </w:rPr>
      </w:pPr>
      <w:r>
        <w:rPr>
          <w:color w:val="auto"/>
        </w:rPr>
        <w:fldChar w:fldCharType="begin"/>
      </w:r>
      <w:r>
        <w:rPr>
          <w:color w:val="auto"/>
        </w:rPr>
        <w:instrText xml:space="preserve"> HYPERLINK \l "_Toc130206650" </w:instrText>
      </w:r>
      <w:r>
        <w:rPr>
          <w:color w:val="auto"/>
        </w:rPr>
        <w:fldChar w:fldCharType="separate"/>
      </w:r>
      <w:r>
        <w:rPr>
          <w:rStyle w:val="49"/>
          <w:rFonts w:hint="eastAsia" w:ascii="宋体" w:hAnsi="宋体" w:cs="宋体"/>
          <w:color w:val="auto"/>
        </w:rPr>
        <w:t>第五章合同主要条款</w:t>
      </w:r>
      <w:r>
        <w:rPr>
          <w:rStyle w:val="49"/>
          <w:rFonts w:ascii="宋体"/>
          <w:color w:val="auto"/>
        </w:rPr>
        <w:tab/>
      </w:r>
      <w:r>
        <w:rPr>
          <w:rStyle w:val="49"/>
          <w:rFonts w:hint="eastAsia" w:ascii="宋体" w:hAnsi="宋体" w:cs="宋体"/>
          <w:color w:val="auto"/>
          <w:lang w:val="en-US" w:eastAsia="zh-CN"/>
        </w:rPr>
        <w:t>3</w:t>
      </w:r>
      <w:r>
        <w:rPr>
          <w:rStyle w:val="49"/>
          <w:rFonts w:ascii="宋体" w:hAnsi="宋体" w:cs="宋体"/>
          <w:color w:val="auto"/>
        </w:rPr>
        <w:fldChar w:fldCharType="end"/>
      </w:r>
      <w:r>
        <w:rPr>
          <w:rStyle w:val="49"/>
          <w:rFonts w:hint="eastAsia" w:ascii="宋体" w:hAnsi="宋体" w:cs="宋体"/>
          <w:color w:val="auto"/>
          <w:lang w:val="en-US" w:eastAsia="zh-CN"/>
        </w:rPr>
        <w:t>6</w:t>
      </w:r>
    </w:p>
    <w:p>
      <w:pPr>
        <w:pStyle w:val="31"/>
        <w:tabs>
          <w:tab w:val="right" w:leader="dot" w:pos="9072"/>
          <w:tab w:val="clear" w:pos="9638"/>
        </w:tabs>
        <w:rPr>
          <w:rStyle w:val="49"/>
          <w:rFonts w:ascii="宋体" w:cs="宋体"/>
          <w:color w:val="auto"/>
        </w:rPr>
      </w:pPr>
      <w:r>
        <w:rPr>
          <w:color w:val="auto"/>
        </w:rPr>
        <w:fldChar w:fldCharType="begin"/>
      </w:r>
      <w:r>
        <w:rPr>
          <w:color w:val="auto"/>
        </w:rPr>
        <w:instrText xml:space="preserve"> HYPERLINK \l "_Toc130206652" </w:instrText>
      </w:r>
      <w:r>
        <w:rPr>
          <w:color w:val="auto"/>
        </w:rPr>
        <w:fldChar w:fldCharType="separate"/>
      </w:r>
      <w:r>
        <w:rPr>
          <w:rStyle w:val="49"/>
          <w:rFonts w:hint="eastAsia" w:ascii="宋体" w:hAnsi="宋体" w:cs="宋体"/>
          <w:color w:val="auto"/>
        </w:rPr>
        <w:t>第六章投标文件及格式</w:t>
      </w:r>
      <w:r>
        <w:rPr>
          <w:rStyle w:val="49"/>
          <w:rFonts w:ascii="宋体"/>
          <w:color w:val="auto"/>
        </w:rPr>
        <w:tab/>
      </w:r>
      <w:r>
        <w:rPr>
          <w:rStyle w:val="49"/>
          <w:rFonts w:ascii="宋体" w:hAnsi="宋体" w:cs="宋体"/>
          <w:color w:val="auto"/>
        </w:rPr>
        <w:t>4</w:t>
      </w:r>
      <w:r>
        <w:rPr>
          <w:rStyle w:val="49"/>
          <w:rFonts w:ascii="宋体" w:hAnsi="宋体" w:cs="宋体"/>
          <w:color w:val="auto"/>
        </w:rPr>
        <w:fldChar w:fldCharType="end"/>
      </w:r>
      <w:r>
        <w:rPr>
          <w:rStyle w:val="49"/>
          <w:rFonts w:ascii="宋体" w:cs="宋体"/>
          <w:color w:val="auto"/>
        </w:rPr>
        <w:t>0</w:t>
      </w:r>
    </w:p>
    <w:p>
      <w:pPr>
        <w:pStyle w:val="31"/>
        <w:tabs>
          <w:tab w:val="right" w:leader="dot" w:pos="9072"/>
          <w:tab w:val="clear" w:pos="9638"/>
        </w:tabs>
        <w:rPr>
          <w:rStyle w:val="49"/>
          <w:rFonts w:hint="eastAsia" w:ascii="宋体" w:eastAsia="宋体"/>
          <w:color w:val="auto"/>
          <w:lang w:val="en-US" w:eastAsia="zh-CN"/>
        </w:rPr>
      </w:pPr>
      <w:r>
        <w:rPr>
          <w:color w:val="auto"/>
        </w:rPr>
        <w:fldChar w:fldCharType="begin"/>
      </w:r>
      <w:r>
        <w:rPr>
          <w:color w:val="auto"/>
        </w:rPr>
        <w:instrText xml:space="preserve"> HYPERLINK \l "_Toc130206653" </w:instrText>
      </w:r>
      <w:r>
        <w:rPr>
          <w:color w:val="auto"/>
        </w:rPr>
        <w:fldChar w:fldCharType="separate"/>
      </w:r>
      <w:r>
        <w:rPr>
          <w:rStyle w:val="49"/>
          <w:rFonts w:hint="eastAsia" w:ascii="宋体" w:hAnsi="宋体" w:cs="宋体"/>
          <w:color w:val="auto"/>
        </w:rPr>
        <w:t>（一）开标一览表</w:t>
      </w:r>
      <w:r>
        <w:rPr>
          <w:rStyle w:val="49"/>
          <w:rFonts w:ascii="宋体"/>
          <w:color w:val="auto"/>
        </w:rPr>
        <w:tab/>
      </w:r>
      <w:r>
        <w:rPr>
          <w:rStyle w:val="49"/>
          <w:rFonts w:hint="eastAsia" w:ascii="宋体" w:hAnsi="宋体" w:cs="宋体"/>
          <w:color w:val="auto"/>
          <w:lang w:val="en-US" w:eastAsia="zh-CN"/>
        </w:rPr>
        <w:t>4</w:t>
      </w:r>
      <w:r>
        <w:rPr>
          <w:rStyle w:val="49"/>
          <w:rFonts w:ascii="宋体" w:hAnsi="宋体" w:cs="宋体"/>
          <w:color w:val="auto"/>
        </w:rPr>
        <w:fldChar w:fldCharType="end"/>
      </w:r>
      <w:r>
        <w:rPr>
          <w:rStyle w:val="49"/>
          <w:rFonts w:hint="eastAsia" w:ascii="宋体" w:hAnsi="宋体" w:cs="宋体"/>
          <w:color w:val="auto"/>
          <w:lang w:val="en-US" w:eastAsia="zh-CN"/>
        </w:rPr>
        <w:t>0</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"_Toc130206654" </w:instrText>
      </w:r>
      <w:r>
        <w:rPr>
          <w:color w:val="auto"/>
        </w:rPr>
        <w:fldChar w:fldCharType="separate"/>
      </w:r>
      <w:r>
        <w:rPr>
          <w:rStyle w:val="49"/>
          <w:rFonts w:hint="eastAsia" w:ascii="宋体" w:hAnsi="宋体" w:cs="宋体"/>
          <w:color w:val="auto"/>
        </w:rPr>
        <w:t>（二）投标函</w:t>
      </w:r>
      <w:r>
        <w:rPr>
          <w:rStyle w:val="49"/>
          <w:rFonts w:ascii="宋体"/>
          <w:color w:val="auto"/>
        </w:rPr>
        <w:tab/>
      </w:r>
      <w:r>
        <w:rPr>
          <w:rStyle w:val="49"/>
          <w:rFonts w:ascii="宋体" w:hAnsi="宋体" w:cs="宋体"/>
          <w:color w:val="auto"/>
        </w:rPr>
        <w:t>4</w:t>
      </w:r>
      <w:r>
        <w:rPr>
          <w:rStyle w:val="49"/>
          <w:rFonts w:ascii="宋体" w:hAnsi="宋体" w:cs="宋体"/>
          <w:color w:val="auto"/>
        </w:rPr>
        <w:fldChar w:fldCharType="end"/>
      </w:r>
      <w:r>
        <w:rPr>
          <w:rStyle w:val="49"/>
          <w:rFonts w:ascii="宋体" w:hAnsi="宋体" w:cs="宋体"/>
          <w:color w:val="auto"/>
        </w:rPr>
        <w:t>1</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"_Toc130206655" </w:instrText>
      </w:r>
      <w:r>
        <w:rPr>
          <w:color w:val="auto"/>
        </w:rPr>
        <w:fldChar w:fldCharType="separate"/>
      </w:r>
      <w:r>
        <w:rPr>
          <w:rStyle w:val="49"/>
          <w:rFonts w:hint="eastAsia" w:ascii="宋体" w:hAnsi="宋体" w:cs="宋体"/>
          <w:color w:val="auto"/>
        </w:rPr>
        <w:t>（三）无重大违法记录声明函</w:t>
      </w:r>
      <w:r>
        <w:rPr>
          <w:rStyle w:val="49"/>
          <w:rFonts w:ascii="宋体"/>
          <w:color w:val="auto"/>
        </w:rPr>
        <w:tab/>
      </w:r>
      <w:r>
        <w:rPr>
          <w:rStyle w:val="49"/>
          <w:rFonts w:ascii="宋体" w:hAnsi="宋体" w:cs="宋体"/>
          <w:color w:val="auto"/>
        </w:rPr>
        <w:t>4</w:t>
      </w:r>
      <w:r>
        <w:rPr>
          <w:rStyle w:val="49"/>
          <w:rFonts w:ascii="宋体" w:hAnsi="宋体" w:cs="宋体"/>
          <w:color w:val="auto"/>
        </w:rPr>
        <w:fldChar w:fldCharType="end"/>
      </w:r>
      <w:r>
        <w:rPr>
          <w:rStyle w:val="49"/>
          <w:rFonts w:ascii="宋体" w:hAnsi="宋体" w:cs="宋体"/>
          <w:color w:val="auto"/>
        </w:rPr>
        <w:t>2</w:t>
      </w:r>
    </w:p>
    <w:p>
      <w:pPr>
        <w:pStyle w:val="31"/>
        <w:tabs>
          <w:tab w:val="right" w:leader="dot" w:pos="9072"/>
          <w:tab w:val="clear" w:pos="9638"/>
        </w:tabs>
        <w:outlineLvl w:val="1"/>
        <w:rPr>
          <w:rStyle w:val="49"/>
          <w:rFonts w:ascii="宋体"/>
          <w:color w:val="auto"/>
        </w:rPr>
      </w:pPr>
      <w:r>
        <w:rPr>
          <w:color w:val="auto"/>
        </w:rPr>
        <w:fldChar w:fldCharType="begin"/>
      </w:r>
      <w:r>
        <w:rPr>
          <w:color w:val="auto"/>
        </w:rPr>
        <w:instrText xml:space="preserve"> HYPERLINK \l "_Toc130206656" </w:instrText>
      </w:r>
      <w:r>
        <w:rPr>
          <w:color w:val="auto"/>
        </w:rPr>
        <w:fldChar w:fldCharType="separate"/>
      </w:r>
      <w:r>
        <w:rPr>
          <w:rStyle w:val="49"/>
          <w:rFonts w:hint="eastAsia" w:ascii="宋体" w:hAnsi="宋体" w:cs="宋体"/>
          <w:color w:val="auto"/>
        </w:rPr>
        <w:t>（四）供应商登记表</w:t>
      </w:r>
      <w:r>
        <w:rPr>
          <w:rStyle w:val="49"/>
          <w:rFonts w:ascii="宋体"/>
          <w:color w:val="auto"/>
        </w:rPr>
        <w:tab/>
      </w:r>
      <w:r>
        <w:rPr>
          <w:rStyle w:val="49"/>
          <w:rFonts w:ascii="宋体" w:hAnsi="宋体" w:cs="宋体"/>
          <w:color w:val="auto"/>
        </w:rPr>
        <w:t>4</w:t>
      </w:r>
      <w:r>
        <w:rPr>
          <w:rStyle w:val="49"/>
          <w:rFonts w:ascii="宋体" w:hAnsi="宋体" w:cs="宋体"/>
          <w:color w:val="auto"/>
        </w:rPr>
        <w:fldChar w:fldCharType="end"/>
      </w:r>
      <w:r>
        <w:rPr>
          <w:rStyle w:val="49"/>
          <w:rFonts w:ascii="宋体" w:hAnsi="宋体" w:cs="宋体"/>
          <w:color w:val="auto"/>
        </w:rPr>
        <w:t>3</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"_Toc130206657" </w:instrText>
      </w:r>
      <w:r>
        <w:rPr>
          <w:color w:val="auto"/>
        </w:rPr>
        <w:fldChar w:fldCharType="separate"/>
      </w:r>
      <w:r>
        <w:rPr>
          <w:rStyle w:val="49"/>
          <w:rFonts w:hint="eastAsia" w:ascii="宋体" w:hAnsi="宋体" w:cs="宋体"/>
          <w:color w:val="auto"/>
        </w:rPr>
        <w:t>（五）法定代表人身份证明书</w:t>
      </w:r>
      <w:r>
        <w:rPr>
          <w:rStyle w:val="49"/>
          <w:rFonts w:ascii="宋体"/>
          <w:color w:val="auto"/>
        </w:rPr>
        <w:tab/>
      </w:r>
      <w:r>
        <w:rPr>
          <w:rStyle w:val="49"/>
          <w:rFonts w:ascii="宋体" w:hAnsi="宋体" w:cs="宋体"/>
          <w:color w:val="auto"/>
        </w:rPr>
        <w:t>44</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"_Toc130206658" </w:instrText>
      </w:r>
      <w:r>
        <w:rPr>
          <w:color w:val="auto"/>
        </w:rPr>
        <w:fldChar w:fldCharType="separate"/>
      </w:r>
      <w:r>
        <w:rPr>
          <w:rStyle w:val="49"/>
          <w:rFonts w:hint="eastAsia" w:ascii="宋体" w:hAnsi="宋体" w:cs="宋体"/>
          <w:color w:val="auto"/>
        </w:rPr>
        <w:t>（六）法定代表人授权委托书</w:t>
      </w:r>
      <w:r>
        <w:rPr>
          <w:rStyle w:val="49"/>
          <w:rFonts w:ascii="宋体"/>
          <w:color w:val="auto"/>
        </w:rPr>
        <w:tab/>
      </w:r>
      <w:r>
        <w:rPr>
          <w:rStyle w:val="49"/>
          <w:rFonts w:ascii="宋体" w:hAnsi="宋体" w:cs="宋体"/>
          <w:color w:val="auto"/>
        </w:rPr>
        <w:t>45</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"_Toc130206659" </w:instrText>
      </w:r>
      <w:r>
        <w:rPr>
          <w:color w:val="auto"/>
        </w:rPr>
        <w:fldChar w:fldCharType="separate"/>
      </w:r>
      <w:r>
        <w:rPr>
          <w:rStyle w:val="49"/>
          <w:rFonts w:hint="eastAsia" w:ascii="宋体" w:hAnsi="宋体" w:cs="宋体"/>
          <w:color w:val="auto"/>
        </w:rPr>
        <w:t>（七）公共资源交易投标信用承诺书</w:t>
      </w:r>
      <w:r>
        <w:rPr>
          <w:rStyle w:val="49"/>
          <w:rFonts w:ascii="宋体"/>
          <w:color w:val="auto"/>
        </w:rPr>
        <w:tab/>
      </w:r>
      <w:r>
        <w:rPr>
          <w:rStyle w:val="49"/>
          <w:rFonts w:ascii="宋体" w:hAnsi="宋体" w:cs="宋体"/>
          <w:color w:val="auto"/>
        </w:rPr>
        <w:t>46</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"_Toc130206660" </w:instrText>
      </w:r>
      <w:r>
        <w:rPr>
          <w:color w:val="auto"/>
        </w:rPr>
        <w:fldChar w:fldCharType="separate"/>
      </w:r>
      <w:r>
        <w:rPr>
          <w:rStyle w:val="49"/>
          <w:rFonts w:hint="eastAsia" w:ascii="宋体" w:hAnsi="宋体" w:cs="宋体"/>
          <w:color w:val="auto"/>
        </w:rPr>
        <w:t>（八）建湖县政府采购事前信用承诺书</w:t>
      </w:r>
      <w:r>
        <w:rPr>
          <w:rStyle w:val="49"/>
          <w:rFonts w:ascii="宋体"/>
          <w:color w:val="auto"/>
        </w:rPr>
        <w:tab/>
      </w:r>
      <w:r>
        <w:rPr>
          <w:rStyle w:val="49"/>
          <w:rFonts w:ascii="宋体" w:hAnsi="宋体" w:cs="宋体"/>
          <w:color w:val="auto"/>
        </w:rPr>
        <w:t>47</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"_Toc130206661" </w:instrText>
      </w:r>
      <w:r>
        <w:rPr>
          <w:color w:val="auto"/>
        </w:rPr>
        <w:fldChar w:fldCharType="separate"/>
      </w:r>
      <w:r>
        <w:rPr>
          <w:rStyle w:val="49"/>
          <w:rFonts w:hint="eastAsia" w:ascii="宋体" w:hAnsi="宋体" w:cs="宋体"/>
          <w:color w:val="auto"/>
        </w:rPr>
        <w:t>（九）中小企业声明函（货物）（如有）</w:t>
      </w:r>
      <w:r>
        <w:rPr>
          <w:rStyle w:val="49"/>
          <w:rFonts w:ascii="宋体"/>
          <w:color w:val="auto"/>
        </w:rPr>
        <w:tab/>
      </w:r>
      <w:r>
        <w:rPr>
          <w:rStyle w:val="49"/>
          <w:rFonts w:ascii="宋体" w:hAnsi="宋体" w:cs="宋体"/>
          <w:color w:val="auto"/>
        </w:rPr>
        <w:t>48</w:t>
      </w:r>
      <w:r>
        <w:rPr>
          <w:rStyle w:val="49"/>
          <w:rFonts w:ascii="宋体" w:hAnsi="宋体" w:cs="宋体"/>
          <w:color w:val="auto"/>
        </w:rPr>
        <w:fldChar w:fldCharType="end"/>
      </w:r>
    </w:p>
    <w:p>
      <w:pPr>
        <w:pStyle w:val="31"/>
        <w:tabs>
          <w:tab w:val="right" w:leader="dot" w:pos="9072"/>
          <w:tab w:val="clear" w:pos="9638"/>
        </w:tabs>
        <w:rPr>
          <w:color w:val="auto"/>
        </w:rPr>
      </w:pPr>
      <w:r>
        <w:rPr>
          <w:color w:val="auto"/>
        </w:rPr>
        <w:fldChar w:fldCharType="begin"/>
      </w:r>
      <w:r>
        <w:rPr>
          <w:color w:val="auto"/>
        </w:rPr>
        <w:instrText xml:space="preserve"> HYPERLINK \l "_Toc130206661" </w:instrText>
      </w:r>
      <w:r>
        <w:rPr>
          <w:color w:val="auto"/>
        </w:rPr>
        <w:fldChar w:fldCharType="separate"/>
      </w:r>
      <w:r>
        <w:rPr>
          <w:rStyle w:val="49"/>
          <w:rFonts w:hint="eastAsia" w:ascii="宋体" w:hAnsi="宋体" w:cs="宋体"/>
          <w:color w:val="auto"/>
        </w:rPr>
        <w:t>（十）残疾人福利性单位声明函（如有）</w:t>
      </w:r>
      <w:r>
        <w:rPr>
          <w:rStyle w:val="49"/>
          <w:rFonts w:ascii="宋体"/>
          <w:color w:val="auto"/>
        </w:rPr>
        <w:tab/>
      </w:r>
      <w:r>
        <w:rPr>
          <w:rStyle w:val="49"/>
          <w:rFonts w:ascii="宋体" w:hAnsi="宋体" w:cs="宋体"/>
          <w:color w:val="auto"/>
        </w:rPr>
        <w:t>49</w:t>
      </w:r>
      <w:r>
        <w:rPr>
          <w:rStyle w:val="49"/>
          <w:rFonts w:ascii="宋体" w:hAnsi="宋体" w:cs="宋体"/>
          <w:color w:val="auto"/>
        </w:rPr>
        <w:fldChar w:fldCharType="end"/>
      </w:r>
    </w:p>
    <w:p>
      <w:pPr>
        <w:pStyle w:val="31"/>
        <w:tabs>
          <w:tab w:val="right" w:leader="dot" w:pos="9072"/>
          <w:tab w:val="clear" w:pos="9638"/>
        </w:tabs>
        <w:rPr>
          <w:rStyle w:val="49"/>
          <w:rFonts w:ascii="宋体" w:cs="宋体"/>
          <w:color w:val="auto"/>
        </w:rPr>
      </w:pPr>
      <w:r>
        <w:rPr>
          <w:color w:val="auto"/>
        </w:rPr>
        <w:fldChar w:fldCharType="begin"/>
      </w:r>
      <w:r>
        <w:rPr>
          <w:color w:val="auto"/>
        </w:rPr>
        <w:instrText xml:space="preserve"> HYPERLINK \l "_Toc130206663" </w:instrText>
      </w:r>
      <w:r>
        <w:rPr>
          <w:color w:val="auto"/>
        </w:rPr>
        <w:fldChar w:fldCharType="separate"/>
      </w:r>
      <w:r>
        <w:rPr>
          <w:rStyle w:val="49"/>
          <w:rFonts w:hint="eastAsia" w:ascii="宋体" w:hAnsi="宋体" w:cs="宋体"/>
          <w:color w:val="auto"/>
        </w:rPr>
        <w:t>（十一）清单报价表</w:t>
      </w:r>
      <w:r>
        <w:rPr>
          <w:rStyle w:val="49"/>
          <w:rFonts w:ascii="宋体"/>
          <w:color w:val="auto"/>
        </w:rPr>
        <w:tab/>
      </w:r>
      <w:r>
        <w:rPr>
          <w:rStyle w:val="49"/>
          <w:rFonts w:ascii="宋体" w:hAnsi="宋体" w:cs="宋体"/>
          <w:color w:val="auto"/>
        </w:rPr>
        <w:t>5</w:t>
      </w:r>
      <w:r>
        <w:rPr>
          <w:rStyle w:val="49"/>
          <w:rFonts w:ascii="宋体" w:hAnsi="宋体" w:cs="宋体"/>
          <w:color w:val="auto"/>
        </w:rPr>
        <w:fldChar w:fldCharType="end"/>
      </w:r>
      <w:r>
        <w:rPr>
          <w:rStyle w:val="49"/>
          <w:rFonts w:ascii="宋体" w:cs="宋体"/>
          <w:color w:val="auto"/>
        </w:rPr>
        <w:t>0</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"_Toc130206666" </w:instrText>
      </w:r>
      <w:r>
        <w:rPr>
          <w:color w:val="auto"/>
        </w:rPr>
        <w:fldChar w:fldCharType="separate"/>
      </w:r>
      <w:r>
        <w:rPr>
          <w:rStyle w:val="49"/>
          <w:rFonts w:hint="eastAsia" w:ascii="宋体" w:hAnsi="宋体" w:cs="宋体"/>
          <w:color w:val="auto"/>
        </w:rPr>
        <w:t>（十二）技术响应表</w:t>
      </w:r>
      <w:r>
        <w:rPr>
          <w:rStyle w:val="49"/>
          <w:rFonts w:ascii="宋体"/>
          <w:color w:val="auto"/>
        </w:rPr>
        <w:tab/>
      </w:r>
      <w:r>
        <w:rPr>
          <w:rStyle w:val="49"/>
          <w:rFonts w:ascii="宋体" w:hAnsi="宋体" w:cs="宋体"/>
          <w:color w:val="auto"/>
        </w:rPr>
        <w:t>5</w:t>
      </w:r>
      <w:r>
        <w:rPr>
          <w:rStyle w:val="49"/>
          <w:rFonts w:ascii="宋体" w:hAnsi="宋体" w:cs="宋体"/>
          <w:color w:val="auto"/>
        </w:rPr>
        <w:fldChar w:fldCharType="end"/>
      </w:r>
      <w:r>
        <w:rPr>
          <w:rStyle w:val="49"/>
          <w:rFonts w:ascii="宋体" w:hAnsi="宋体" w:cs="宋体"/>
          <w:color w:val="auto"/>
        </w:rPr>
        <w:t>2</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"_Toc130206667" </w:instrText>
      </w:r>
      <w:r>
        <w:rPr>
          <w:color w:val="auto"/>
        </w:rPr>
        <w:fldChar w:fldCharType="separate"/>
      </w:r>
      <w:r>
        <w:rPr>
          <w:rStyle w:val="49"/>
          <w:rFonts w:hint="eastAsia" w:ascii="宋体" w:hAnsi="宋体" w:cs="宋体"/>
          <w:color w:val="auto"/>
        </w:rPr>
        <w:t>（十三）具备履行合同所必需的设备和专业技术能力的声明函</w:t>
      </w:r>
      <w:r>
        <w:rPr>
          <w:rStyle w:val="49"/>
          <w:rFonts w:ascii="宋体"/>
          <w:color w:val="auto"/>
        </w:rPr>
        <w:tab/>
      </w:r>
      <w:r>
        <w:rPr>
          <w:rStyle w:val="49"/>
          <w:rFonts w:ascii="宋体" w:hAnsi="宋体" w:cs="宋体"/>
          <w:color w:val="auto"/>
        </w:rPr>
        <w:t>5</w:t>
      </w:r>
      <w:r>
        <w:rPr>
          <w:rStyle w:val="49"/>
          <w:rFonts w:ascii="宋体" w:hAnsi="宋体" w:cs="宋体"/>
          <w:color w:val="auto"/>
        </w:rPr>
        <w:fldChar w:fldCharType="end"/>
      </w:r>
      <w:r>
        <w:rPr>
          <w:rStyle w:val="49"/>
          <w:rFonts w:ascii="宋体" w:hAnsi="宋体" w:cs="宋体"/>
          <w:color w:val="auto"/>
        </w:rPr>
        <w:t>3</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"_Toc130206668" </w:instrText>
      </w:r>
      <w:r>
        <w:rPr>
          <w:color w:val="auto"/>
        </w:rPr>
        <w:fldChar w:fldCharType="separate"/>
      </w:r>
      <w:r>
        <w:rPr>
          <w:rStyle w:val="49"/>
          <w:rFonts w:hint="eastAsia" w:ascii="宋体" w:hAnsi="宋体" w:cs="宋体"/>
          <w:color w:val="auto"/>
        </w:rPr>
        <w:t>（十四）服务承诺书</w:t>
      </w:r>
      <w:r>
        <w:rPr>
          <w:rStyle w:val="49"/>
          <w:rFonts w:ascii="宋体"/>
          <w:color w:val="auto"/>
        </w:rPr>
        <w:tab/>
      </w:r>
      <w:r>
        <w:rPr>
          <w:rStyle w:val="49"/>
          <w:rFonts w:ascii="宋体"/>
          <w:color w:val="auto"/>
        </w:rPr>
        <w:fldChar w:fldCharType="end"/>
      </w:r>
      <w:r>
        <w:rPr>
          <w:rStyle w:val="49"/>
          <w:rFonts w:ascii="宋体" w:hAnsi="宋体" w:cs="宋体"/>
          <w:color w:val="auto"/>
        </w:rPr>
        <w:t>54</w:t>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"_Toc130206670" </w:instrText>
      </w:r>
      <w:r>
        <w:rPr>
          <w:color w:val="auto"/>
        </w:rPr>
        <w:fldChar w:fldCharType="separate"/>
      </w:r>
      <w:r>
        <w:rPr>
          <w:rStyle w:val="49"/>
          <w:rFonts w:hint="eastAsia" w:ascii="宋体" w:hAnsi="宋体" w:cs="宋体"/>
          <w:color w:val="auto"/>
        </w:rPr>
        <w:t>（十五）项目业绩汇总表</w:t>
      </w:r>
      <w:r>
        <w:rPr>
          <w:rStyle w:val="49"/>
          <w:rFonts w:ascii="宋体"/>
          <w:color w:val="auto"/>
        </w:rPr>
        <w:tab/>
      </w:r>
      <w:r>
        <w:rPr>
          <w:rStyle w:val="49"/>
          <w:rFonts w:ascii="宋体" w:hAnsi="宋体" w:cs="宋体"/>
          <w:color w:val="auto"/>
        </w:rPr>
        <w:t>55</w:t>
      </w:r>
      <w:r>
        <w:rPr>
          <w:rStyle w:val="49"/>
          <w:rFonts w:ascii="宋体" w:hAnsi="宋体" w:cs="宋体"/>
          <w:color w:val="auto"/>
        </w:rPr>
        <w:fldChar w:fldCharType="end"/>
      </w:r>
    </w:p>
    <w:p>
      <w:pPr>
        <w:pStyle w:val="31"/>
        <w:tabs>
          <w:tab w:val="right" w:leader="dot" w:pos="9072"/>
          <w:tab w:val="clear" w:pos="9638"/>
        </w:tabs>
        <w:rPr>
          <w:rStyle w:val="49"/>
          <w:rFonts w:ascii="宋体"/>
          <w:color w:val="auto"/>
        </w:rPr>
      </w:pPr>
      <w:r>
        <w:rPr>
          <w:color w:val="auto"/>
        </w:rPr>
        <w:fldChar w:fldCharType="begin"/>
      </w:r>
      <w:r>
        <w:rPr>
          <w:color w:val="auto"/>
        </w:rPr>
        <w:instrText xml:space="preserve"> HYPERLINK \l "_Toc130206672" </w:instrText>
      </w:r>
      <w:r>
        <w:rPr>
          <w:color w:val="auto"/>
        </w:rPr>
        <w:fldChar w:fldCharType="separate"/>
      </w:r>
      <w:r>
        <w:rPr>
          <w:rStyle w:val="49"/>
          <w:rFonts w:hint="eastAsia" w:ascii="宋体" w:hAnsi="宋体" w:cs="宋体"/>
          <w:color w:val="auto"/>
        </w:rPr>
        <w:t>（十六）技术方案</w:t>
      </w:r>
      <w:r>
        <w:rPr>
          <w:rStyle w:val="49"/>
          <w:rFonts w:ascii="宋体"/>
          <w:color w:val="auto"/>
        </w:rPr>
        <w:tab/>
      </w:r>
      <w:r>
        <w:rPr>
          <w:rStyle w:val="49"/>
          <w:rFonts w:ascii="宋体" w:hAnsi="宋体" w:cs="宋体"/>
          <w:color w:val="auto"/>
        </w:rPr>
        <w:t>56</w:t>
      </w:r>
      <w:r>
        <w:rPr>
          <w:rStyle w:val="49"/>
          <w:rFonts w:ascii="宋体" w:hAnsi="宋体" w:cs="宋体"/>
          <w:color w:val="auto"/>
        </w:rPr>
        <w:fldChar w:fldCharType="end"/>
      </w:r>
    </w:p>
    <w:p>
      <w:pPr>
        <w:pStyle w:val="31"/>
        <w:tabs>
          <w:tab w:val="right" w:leader="dot" w:pos="9072"/>
          <w:tab w:val="clear" w:pos="9638"/>
        </w:tabs>
        <w:rPr>
          <w:rFonts w:ascii="宋体"/>
          <w:color w:val="auto"/>
        </w:rPr>
      </w:pPr>
      <w:r>
        <w:rPr>
          <w:color w:val="auto"/>
        </w:rPr>
        <w:fldChar w:fldCharType="begin"/>
      </w:r>
      <w:r>
        <w:rPr>
          <w:color w:val="auto"/>
        </w:rPr>
        <w:instrText xml:space="preserve"> HYPERLINK \l "_Toc130206672" </w:instrText>
      </w:r>
      <w:r>
        <w:rPr>
          <w:color w:val="auto"/>
        </w:rPr>
        <w:fldChar w:fldCharType="separate"/>
      </w:r>
      <w:r>
        <w:rPr>
          <w:rStyle w:val="49"/>
          <w:rFonts w:hint="eastAsia" w:ascii="宋体" w:hAnsi="宋体" w:cs="宋体"/>
          <w:color w:val="auto"/>
        </w:rPr>
        <w:t>（十七）售后及培训方案</w:t>
      </w:r>
      <w:r>
        <w:rPr>
          <w:rStyle w:val="49"/>
          <w:rFonts w:ascii="宋体"/>
          <w:color w:val="auto"/>
        </w:rPr>
        <w:tab/>
      </w:r>
      <w:r>
        <w:rPr>
          <w:rStyle w:val="49"/>
          <w:rFonts w:ascii="宋体" w:hAnsi="宋体" w:cs="宋体"/>
          <w:color w:val="auto"/>
        </w:rPr>
        <w:t>57</w:t>
      </w:r>
      <w:r>
        <w:rPr>
          <w:rStyle w:val="49"/>
          <w:rFonts w:ascii="宋体" w:hAnsi="宋体" w:cs="宋体"/>
          <w:color w:val="auto"/>
        </w:rPr>
        <w:fldChar w:fldCharType="end"/>
      </w:r>
    </w:p>
    <w:p>
      <w:pPr>
        <w:rPr>
          <w:color w:val="auto"/>
        </w:rPr>
      </w:pPr>
    </w:p>
    <w:p>
      <w:pPr>
        <w:pStyle w:val="25"/>
        <w:tabs>
          <w:tab w:val="center" w:pos="4718"/>
        </w:tabs>
        <w:spacing w:line="400" w:lineRule="exact"/>
        <w:jc w:val="center"/>
        <w:outlineLvl w:val="0"/>
        <w:rPr>
          <w:rFonts w:hAnsi="宋体" w:cs="Calibri"/>
          <w:color w:val="auto"/>
        </w:rPr>
        <w:sectPr>
          <w:pgSz w:w="11906" w:h="16838"/>
          <w:pgMar w:top="1134" w:right="1274" w:bottom="1134" w:left="1305" w:header="624" w:footer="624" w:gutter="113"/>
          <w:cols w:space="720" w:num="1"/>
          <w:docGrid w:linePitch="360" w:charSpace="0"/>
        </w:sectPr>
      </w:pPr>
      <w:r>
        <w:rPr>
          <w:rFonts w:hAnsi="宋体"/>
          <w:color w:val="auto"/>
        </w:rPr>
        <w:fldChar w:fldCharType="end"/>
      </w:r>
      <w:bookmarkEnd w:id="0"/>
      <w:bookmarkStart w:id="1" w:name="_Toc120519608"/>
    </w:p>
    <w:p>
      <w:pPr>
        <w:pStyle w:val="25"/>
        <w:tabs>
          <w:tab w:val="center" w:pos="4718"/>
        </w:tabs>
        <w:spacing w:line="400" w:lineRule="exact"/>
        <w:ind w:firstLine="643"/>
        <w:jc w:val="center"/>
        <w:outlineLvl w:val="0"/>
        <w:rPr>
          <w:rFonts w:hAnsi="宋体" w:cs="Calibri"/>
          <w:color w:val="auto"/>
        </w:rPr>
      </w:pPr>
      <w:bookmarkStart w:id="2" w:name="_Toc130206638"/>
      <w:r>
        <w:rPr>
          <w:rFonts w:hint="eastAsia" w:hAnsi="宋体"/>
          <w:b/>
          <w:bCs/>
          <w:color w:val="auto"/>
          <w:sz w:val="32"/>
          <w:szCs w:val="32"/>
        </w:rPr>
        <w:t>第一章招标公告</w:t>
      </w:r>
      <w:bookmarkEnd w:id="1"/>
      <w:bookmarkEnd w:id="2"/>
    </w:p>
    <w:p>
      <w:pPr>
        <w:pStyle w:val="25"/>
        <w:tabs>
          <w:tab w:val="center" w:pos="4718"/>
        </w:tabs>
        <w:spacing w:line="400" w:lineRule="exact"/>
        <w:ind w:firstLine="643"/>
        <w:jc w:val="center"/>
        <w:outlineLvl w:val="0"/>
        <w:rPr>
          <w:rFonts w:hAnsi="宋体" w:cs="Calibri"/>
          <w:b/>
          <w:bCs/>
          <w:color w:val="auto"/>
          <w:sz w:val="32"/>
          <w:szCs w:val="32"/>
        </w:rPr>
      </w:pPr>
    </w:p>
    <w:tbl>
      <w:tblPr>
        <w:tblStyle w:val="4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28" w:type="dxa"/>
            <w:noWrap w:val="0"/>
          </w:tcPr>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项目概况</w:t>
            </w:r>
          </w:p>
          <w:p>
            <w:pPr>
              <w:widowControl/>
              <w:spacing w:line="480" w:lineRule="exact"/>
              <w:ind w:right="-105" w:firstLine="480"/>
              <w:jc w:val="left"/>
              <w:rPr>
                <w:rFonts w:ascii="宋体"/>
                <w:b/>
                <w:bCs/>
                <w:color w:val="auto"/>
                <w:sz w:val="30"/>
                <w:szCs w:val="30"/>
              </w:rPr>
            </w:pPr>
            <w:r>
              <w:rPr>
                <w:rFonts w:hint="eastAsia" w:ascii="宋体" w:hAnsi="宋体" w:cs="宋体"/>
                <w:color w:val="auto"/>
                <w:sz w:val="24"/>
                <w:szCs w:val="24"/>
                <w:u w:val="single"/>
              </w:rPr>
              <w:t>建湖县中高考相关考点广播独立双系统升级改造项目</w:t>
            </w:r>
            <w:r>
              <w:rPr>
                <w:rFonts w:hint="eastAsia" w:ascii="宋体" w:hAnsi="宋体" w:cs="宋体"/>
                <w:color w:val="auto"/>
                <w:sz w:val="24"/>
                <w:szCs w:val="24"/>
              </w:rPr>
              <w:t>的潜在投标人应在“政府采购一体化平台（苏采云）”获取招标文件，并于</w:t>
            </w:r>
            <w:r>
              <w:rPr>
                <w:rFonts w:ascii="宋体" w:hAnsi="宋体" w:cs="宋体"/>
                <w:color w:val="auto"/>
                <w:sz w:val="24"/>
                <w:szCs w:val="24"/>
                <w:u w:val="single"/>
              </w:rPr>
              <w:t>2024</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05</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07</w:t>
            </w:r>
            <w:r>
              <w:rPr>
                <w:rFonts w:hint="eastAsia" w:ascii="宋体" w:hAnsi="宋体" w:cs="宋体"/>
                <w:color w:val="auto"/>
                <w:sz w:val="24"/>
                <w:szCs w:val="24"/>
                <w:u w:val="single"/>
              </w:rPr>
              <w:t>日</w:t>
            </w:r>
            <w:bookmarkStart w:id="3" w:name="_Hlk128673662"/>
            <w:r>
              <w:rPr>
                <w:rFonts w:hint="eastAsia" w:ascii="宋体" w:hAnsi="宋体" w:cs="宋体"/>
                <w:color w:val="auto"/>
                <w:sz w:val="24"/>
                <w:szCs w:val="24"/>
                <w:u w:val="single"/>
                <w:lang w:val="en-US" w:eastAsia="zh-CN"/>
              </w:rPr>
              <w:t>09</w:t>
            </w:r>
            <w:r>
              <w:rPr>
                <w:rFonts w:hint="eastAsia" w:ascii="宋体" w:hAnsi="宋体" w:cs="宋体"/>
                <w:color w:val="auto"/>
                <w:sz w:val="24"/>
                <w:szCs w:val="24"/>
                <w:u w:val="single"/>
              </w:rPr>
              <w:t>时</w:t>
            </w:r>
            <w:r>
              <w:rPr>
                <w:rFonts w:hint="eastAsia" w:ascii="宋体" w:hAnsi="宋体" w:cs="宋体"/>
                <w:color w:val="auto"/>
                <w:sz w:val="24"/>
                <w:szCs w:val="24"/>
              </w:rPr>
              <w:t>（北京时间）前</w:t>
            </w:r>
            <w:bookmarkEnd w:id="3"/>
            <w:r>
              <w:rPr>
                <w:rFonts w:hint="eastAsia" w:ascii="宋体" w:hAnsi="宋体" w:cs="宋体"/>
                <w:color w:val="auto"/>
                <w:sz w:val="24"/>
                <w:szCs w:val="24"/>
              </w:rPr>
              <w:t>递交投标文件。</w:t>
            </w:r>
          </w:p>
        </w:tc>
      </w:tr>
    </w:tbl>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一、项目基本情况</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项目编号：</w:t>
      </w:r>
      <w:r>
        <w:rPr>
          <w:rFonts w:ascii="宋体" w:hAnsi="宋体" w:cs="宋体"/>
          <w:color w:val="auto"/>
          <w:sz w:val="24"/>
          <w:szCs w:val="24"/>
        </w:rPr>
        <w:t>JSZC-320925-CTGL-G2024-0004</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项目名称：</w:t>
      </w:r>
      <w:r>
        <w:rPr>
          <w:rFonts w:hint="eastAsia" w:ascii="宋体" w:hAnsi="宋体" w:cs="宋体"/>
          <w:color w:val="auto"/>
          <w:spacing w:val="-4"/>
          <w:sz w:val="24"/>
          <w:szCs w:val="24"/>
        </w:rPr>
        <w:t>建湖县中高考相关考点广播独立双系统升级改造项目</w:t>
      </w:r>
      <w:r>
        <w:rPr>
          <w:rFonts w:hint="eastAsia" w:ascii="宋体" w:hAnsi="宋体" w:cs="宋体"/>
          <w:color w:val="auto"/>
          <w:sz w:val="24"/>
          <w:szCs w:val="24"/>
        </w:rPr>
        <w:t>；</w:t>
      </w:r>
    </w:p>
    <w:p>
      <w:pPr>
        <w:widowControl/>
        <w:spacing w:line="48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预算金额：采购预算价为</w:t>
      </w:r>
      <w:r>
        <w:rPr>
          <w:rFonts w:ascii="宋体" w:hAnsi="宋体" w:cs="宋体"/>
          <w:color w:val="auto"/>
          <w:sz w:val="24"/>
          <w:szCs w:val="24"/>
        </w:rPr>
        <w:t>240</w:t>
      </w:r>
      <w:r>
        <w:rPr>
          <w:rFonts w:hint="eastAsia" w:ascii="宋体" w:hAnsi="宋体" w:cs="宋体"/>
          <w:color w:val="auto"/>
          <w:sz w:val="24"/>
          <w:szCs w:val="24"/>
        </w:rPr>
        <w:t>万元，高于该预算价的作无效标论处；</w:t>
      </w:r>
    </w:p>
    <w:p>
      <w:pPr>
        <w:spacing w:line="480" w:lineRule="exact"/>
        <w:ind w:firstLine="48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采购需求：</w:t>
      </w:r>
      <w:r>
        <w:rPr>
          <w:rFonts w:hint="eastAsia" w:ascii="宋体" w:hAnsi="宋体" w:cs="宋体"/>
          <w:color w:val="auto"/>
          <w:spacing w:val="-4"/>
          <w:sz w:val="24"/>
          <w:szCs w:val="24"/>
        </w:rPr>
        <w:t>建湖县中高考相关考点广播独立双系统升级改造</w:t>
      </w:r>
      <w:r>
        <w:rPr>
          <w:rFonts w:hint="eastAsia" w:ascii="宋体" w:hAnsi="宋体" w:cs="宋体"/>
          <w:color w:val="auto"/>
          <w:sz w:val="24"/>
          <w:szCs w:val="24"/>
        </w:rPr>
        <w:t>，主要采购内容包括：</w:t>
      </w:r>
      <w:r>
        <w:rPr>
          <w:rFonts w:hint="eastAsia" w:ascii="宋体" w:hAnsi="宋体" w:cs="宋体"/>
          <w:color w:val="auto"/>
          <w:sz w:val="24"/>
          <w:szCs w:val="24"/>
          <w:shd w:val="clear" w:color="auto" w:fill="FFFFFF"/>
        </w:rPr>
        <w:t>包含对建湖高中、建湖二中、建湖中专、建湖一中和汇杰初中</w:t>
      </w:r>
      <w:r>
        <w:rPr>
          <w:rFonts w:ascii="宋体" w:hAnsi="宋体" w:cs="宋体"/>
          <w:color w:val="auto"/>
          <w:sz w:val="24"/>
          <w:szCs w:val="24"/>
          <w:shd w:val="clear" w:color="auto" w:fill="FFFFFF"/>
        </w:rPr>
        <w:t>5</w:t>
      </w:r>
      <w:r>
        <w:rPr>
          <w:rFonts w:hint="eastAsia" w:ascii="宋体" w:hAnsi="宋体" w:cs="宋体"/>
          <w:color w:val="auto"/>
          <w:sz w:val="24"/>
          <w:szCs w:val="24"/>
          <w:shd w:val="clear" w:color="auto" w:fill="FFFFFF"/>
        </w:rPr>
        <w:t>个考点，按上级主管部门要求进行广播独立双系统进行升级改造，具体内容详见招标文件第三</w:t>
      </w:r>
      <w:r>
        <w:rPr>
          <w:rFonts w:hint="eastAsia" w:ascii="宋体" w:hAnsi="宋体" w:cs="宋体"/>
          <w:color w:val="auto"/>
          <w:sz w:val="24"/>
          <w:szCs w:val="24"/>
        </w:rPr>
        <w:t>章。</w:t>
      </w:r>
    </w:p>
    <w:p>
      <w:pPr>
        <w:pStyle w:val="41"/>
        <w:spacing w:line="460" w:lineRule="exact"/>
        <w:ind w:firstLine="452"/>
        <w:rPr>
          <w:rFonts w:ascii="宋体" w:hAnsi="宋体" w:eastAsia="宋体" w:cs="Calibri"/>
          <w:color w:val="auto"/>
          <w:spacing w:val="-4"/>
          <w:sz w:val="24"/>
          <w:szCs w:val="24"/>
        </w:rPr>
      </w:pPr>
      <w:r>
        <w:rPr>
          <w:rFonts w:ascii="宋体" w:hAnsi="宋体" w:eastAsia="宋体" w:cs="宋体"/>
          <w:color w:val="auto"/>
          <w:spacing w:val="-4"/>
          <w:sz w:val="24"/>
          <w:szCs w:val="24"/>
        </w:rPr>
        <w:t>5.</w:t>
      </w:r>
      <w:r>
        <w:rPr>
          <w:rFonts w:hint="eastAsia" w:ascii="宋体" w:hAnsi="宋体" w:eastAsia="宋体" w:cs="宋体"/>
          <w:color w:val="auto"/>
          <w:spacing w:val="-4"/>
          <w:sz w:val="24"/>
          <w:szCs w:val="24"/>
        </w:rPr>
        <w:t>质量保修期：三年</w:t>
      </w:r>
    </w:p>
    <w:p>
      <w:pPr>
        <w:pStyle w:val="41"/>
        <w:spacing w:line="460" w:lineRule="exact"/>
        <w:ind w:firstLine="452"/>
        <w:rPr>
          <w:rFonts w:ascii="宋体" w:hAnsi="宋体" w:eastAsia="宋体" w:cs="Calibri"/>
          <w:color w:val="auto"/>
          <w:spacing w:val="-4"/>
          <w:sz w:val="24"/>
          <w:szCs w:val="24"/>
        </w:rPr>
      </w:pPr>
      <w:r>
        <w:rPr>
          <w:rFonts w:ascii="宋体" w:hAnsi="宋体" w:eastAsia="宋体" w:cs="宋体"/>
          <w:color w:val="auto"/>
          <w:spacing w:val="-4"/>
          <w:sz w:val="24"/>
          <w:szCs w:val="24"/>
        </w:rPr>
        <w:t>6.</w:t>
      </w:r>
      <w:r>
        <w:rPr>
          <w:rFonts w:hint="eastAsia" w:ascii="宋体" w:hAnsi="宋体" w:eastAsia="宋体" w:cs="宋体"/>
          <w:color w:val="auto"/>
          <w:spacing w:val="-4"/>
          <w:sz w:val="24"/>
          <w:szCs w:val="24"/>
        </w:rPr>
        <w:t>合同履行期限：</w:t>
      </w:r>
      <w:r>
        <w:rPr>
          <w:rFonts w:hint="eastAsia" w:ascii="宋体" w:hAnsi="宋体" w:eastAsia="宋体" w:cs="宋体"/>
          <w:color w:val="auto"/>
          <w:spacing w:val="-4"/>
          <w:sz w:val="24"/>
          <w:szCs w:val="24"/>
          <w:lang w:eastAsia="zh-CN"/>
        </w:rPr>
        <w:t>2024年5月30日前</w:t>
      </w:r>
      <w:r>
        <w:rPr>
          <w:rFonts w:hint="eastAsia" w:ascii="宋体" w:hAnsi="宋体" w:eastAsia="宋体" w:cs="宋体"/>
          <w:color w:val="auto"/>
          <w:spacing w:val="-4"/>
          <w:sz w:val="24"/>
          <w:szCs w:val="24"/>
        </w:rPr>
        <w:t>完成全部设备的采购、安装、调试工作，并通过验收合格。</w:t>
      </w:r>
    </w:p>
    <w:p>
      <w:pPr>
        <w:spacing w:line="480" w:lineRule="exact"/>
        <w:ind w:firstLine="48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本项目不接受联合体投标。</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二、投标申请人资格要求</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满足《中华人民共和国政府采购法》第二十二条规定：</w:t>
      </w:r>
    </w:p>
    <w:p>
      <w:pPr>
        <w:widowControl/>
        <w:spacing w:line="480" w:lineRule="exact"/>
        <w:ind w:firstLine="480"/>
        <w:jc w:val="left"/>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具有独立承担民事责任的能力（提供法人或者其他组织的营业执照）；</w:t>
      </w:r>
    </w:p>
    <w:p>
      <w:pPr>
        <w:widowControl/>
        <w:spacing w:line="480" w:lineRule="exact"/>
        <w:ind w:firstLine="480"/>
        <w:jc w:val="left"/>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具有良好的商业信誉和健全的财务会计制度【须提供近半年内的财务报表或者上年度企业财务审计报告（财务报表须提供不少于三个月的）】（成立不满一年不需提供）；</w:t>
      </w:r>
    </w:p>
    <w:p>
      <w:pPr>
        <w:widowControl/>
        <w:spacing w:line="480" w:lineRule="exact"/>
        <w:ind w:firstLine="480"/>
        <w:jc w:val="left"/>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具有履行合同所必需的设备和专业技术能力；</w:t>
      </w:r>
    </w:p>
    <w:p>
      <w:pPr>
        <w:widowControl/>
        <w:spacing w:line="480" w:lineRule="exact"/>
        <w:ind w:firstLine="480"/>
        <w:jc w:val="left"/>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有依法缴纳税收和社会保障资金的良好记录【须提供经税务部门认可的近半年内依法缴纳税收的证明（不少于三个月的）】（成立不满一年不需提供）；</w:t>
      </w:r>
    </w:p>
    <w:p>
      <w:pPr>
        <w:widowControl/>
        <w:spacing w:line="480" w:lineRule="exact"/>
        <w:ind w:firstLine="480"/>
        <w:jc w:val="left"/>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参加政府采购活动前三年内，在经营活动中没有重大违法记录（提供参加本次政府采购活动前</w:t>
      </w:r>
      <w:r>
        <w:rPr>
          <w:rFonts w:ascii="宋体" w:hAnsi="宋体" w:cs="宋体"/>
          <w:color w:val="auto"/>
          <w:sz w:val="24"/>
          <w:szCs w:val="24"/>
        </w:rPr>
        <w:t>3</w:t>
      </w:r>
      <w:r>
        <w:rPr>
          <w:rFonts w:hint="eastAsia" w:ascii="宋体" w:hAnsi="宋体" w:cs="宋体"/>
          <w:color w:val="auto"/>
          <w:sz w:val="24"/>
          <w:szCs w:val="24"/>
        </w:rPr>
        <w:t>年内在经营活动中没有重大违法记录的书面声明）（格式见招标文件）；</w:t>
      </w:r>
    </w:p>
    <w:p>
      <w:pPr>
        <w:widowControl/>
        <w:spacing w:line="480" w:lineRule="exact"/>
        <w:ind w:firstLine="480"/>
        <w:jc w:val="left"/>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法律、行政法规规定的其他条件：无。</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落实政府采购政策需满足的资格要求（详见招标文件第四章）：</w:t>
      </w:r>
    </w:p>
    <w:p>
      <w:pPr>
        <w:widowControl/>
        <w:spacing w:line="480" w:lineRule="exact"/>
        <w:ind w:firstLine="480"/>
        <w:jc w:val="left"/>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政策采购促进中小企业发展；</w:t>
      </w:r>
    </w:p>
    <w:p>
      <w:pPr>
        <w:widowControl/>
        <w:spacing w:line="480" w:lineRule="exact"/>
        <w:ind w:firstLine="480"/>
        <w:jc w:val="left"/>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政府采购促进残疾人福利单位发展；</w:t>
      </w:r>
    </w:p>
    <w:p>
      <w:pPr>
        <w:widowControl/>
        <w:spacing w:line="480" w:lineRule="exact"/>
        <w:ind w:firstLine="480"/>
        <w:jc w:val="left"/>
        <w:rPr>
          <w:rFonts w:ascii="宋体"/>
          <w:color w:val="auto"/>
          <w:sz w:val="24"/>
          <w:szCs w:val="24"/>
        </w:rPr>
      </w:pPr>
      <w:r>
        <w:rPr>
          <w:rFonts w:ascii="宋体" w:hAnsi="宋体" w:cs="宋体"/>
          <w:color w:val="auto"/>
          <w:sz w:val="24"/>
          <w:szCs w:val="24"/>
        </w:rPr>
        <w:t>2.3</w:t>
      </w:r>
      <w:r>
        <w:rPr>
          <w:rFonts w:hint="eastAsia" w:ascii="宋体" w:hAnsi="宋体" w:cs="宋体"/>
          <w:color w:val="auto"/>
          <w:sz w:val="24"/>
          <w:szCs w:val="24"/>
        </w:rPr>
        <w:t>政府采购促进监狱和戒毒企业发展；</w:t>
      </w:r>
    </w:p>
    <w:p>
      <w:pPr>
        <w:widowControl/>
        <w:spacing w:line="480" w:lineRule="exact"/>
        <w:ind w:firstLine="480"/>
        <w:jc w:val="left"/>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为鼓励中小企业发展，如中标企业为中小企业，则由该企业负责所有项目的运营；如中标企业为非中小企业，则中标企业须将不低于总项目</w:t>
      </w:r>
      <w:r>
        <w:rPr>
          <w:rFonts w:ascii="宋体" w:hAnsi="宋体" w:cs="宋体"/>
          <w:color w:val="auto"/>
          <w:sz w:val="24"/>
          <w:szCs w:val="24"/>
        </w:rPr>
        <w:t>30%</w:t>
      </w:r>
      <w:r>
        <w:rPr>
          <w:rFonts w:hint="eastAsia" w:ascii="宋体" w:hAnsi="宋体" w:cs="宋体"/>
          <w:color w:val="auto"/>
          <w:sz w:val="24"/>
          <w:szCs w:val="24"/>
        </w:rPr>
        <w:t>的份额，其中预留给小微企业的比例不低于</w:t>
      </w:r>
      <w:r>
        <w:rPr>
          <w:rFonts w:ascii="宋体" w:hAnsi="宋体" w:cs="宋体"/>
          <w:color w:val="auto"/>
          <w:sz w:val="24"/>
          <w:szCs w:val="24"/>
        </w:rPr>
        <w:t>60%</w:t>
      </w:r>
      <w:r>
        <w:rPr>
          <w:rFonts w:hint="eastAsia" w:ascii="宋体" w:hAnsi="宋体" w:cs="宋体"/>
          <w:color w:val="auto"/>
          <w:sz w:val="24"/>
          <w:szCs w:val="24"/>
        </w:rPr>
        <w:t>，分包给具有相关相应能力的中小企业，由中标企业统一管理。</w:t>
      </w:r>
    </w:p>
    <w:p>
      <w:pPr>
        <w:widowControl/>
        <w:spacing w:line="480" w:lineRule="exact"/>
        <w:ind w:firstLine="480"/>
        <w:jc w:val="left"/>
        <w:rPr>
          <w:rFonts w:ascii="宋体"/>
          <w:color w:val="auto"/>
          <w:sz w:val="24"/>
          <w:szCs w:val="24"/>
        </w:rPr>
      </w:pPr>
      <w:r>
        <w:rPr>
          <w:rFonts w:ascii="宋体" w:hAnsi="宋体" w:cs="宋体"/>
          <w:color w:val="auto"/>
          <w:sz w:val="24"/>
          <w:szCs w:val="24"/>
        </w:rPr>
        <w:t>2.5</w:t>
      </w:r>
      <w:r>
        <w:rPr>
          <w:rFonts w:hint="eastAsia" w:ascii="宋体" w:hAnsi="宋体" w:cs="宋体"/>
          <w:color w:val="auto"/>
          <w:sz w:val="24"/>
          <w:szCs w:val="24"/>
        </w:rPr>
        <w:t>政府采购鼓励采购节能环保产品。</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本项目的特定资格要求</w:t>
      </w:r>
    </w:p>
    <w:p>
      <w:pPr>
        <w:widowControl/>
        <w:spacing w:line="480" w:lineRule="exact"/>
        <w:ind w:firstLine="480"/>
        <w:jc w:val="left"/>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投标申请人应是中华人民共和国境内注册的供应商；</w:t>
      </w:r>
    </w:p>
    <w:p>
      <w:pPr>
        <w:widowControl/>
        <w:spacing w:line="480" w:lineRule="exact"/>
        <w:ind w:firstLine="480"/>
        <w:jc w:val="left"/>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未被“信用中国”网站（</w:t>
      </w:r>
      <w:r>
        <w:rPr>
          <w:rFonts w:ascii="宋体" w:hAnsi="宋体" w:cs="宋体"/>
          <w:color w:val="auto"/>
          <w:sz w:val="24"/>
          <w:szCs w:val="24"/>
        </w:rPr>
        <w:t>www.creditchina.gov.cn</w:t>
      </w:r>
      <w:r>
        <w:rPr>
          <w:rFonts w:hint="eastAsia" w:ascii="宋体" w:hAnsi="宋体" w:cs="宋体"/>
          <w:color w:val="auto"/>
          <w:sz w:val="24"/>
          <w:szCs w:val="24"/>
        </w:rPr>
        <w:t>）列入失信被执行人、重大税收违法案件当事人名单、政府采购严重失信行为记录名单。</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三、获取招标文件</w:t>
      </w:r>
    </w:p>
    <w:p>
      <w:pPr>
        <w:widowControl/>
        <w:shd w:val="clear" w:color="auto" w:fill="FFFFFF"/>
        <w:spacing w:line="480" w:lineRule="atLeast"/>
        <w:ind w:firstLine="480"/>
        <w:jc w:val="left"/>
        <w:rPr>
          <w:rFonts w:ascii="宋体"/>
          <w:color w:val="auto"/>
        </w:rPr>
      </w:pPr>
      <w:bookmarkStart w:id="4" w:name="QLCZYSX_1"/>
      <w:r>
        <w:rPr>
          <w:rFonts w:ascii="宋体" w:hAnsi="宋体" w:cs="宋体"/>
          <w:color w:val="auto"/>
          <w:sz w:val="24"/>
          <w:szCs w:val="24"/>
          <w:shd w:val="clear" w:color="auto" w:fill="FFFFFF"/>
        </w:rPr>
        <w:t>1.</w:t>
      </w:r>
      <w:bookmarkEnd w:id="4"/>
      <w:r>
        <w:rPr>
          <w:rFonts w:hint="eastAsia" w:ascii="宋体" w:hAnsi="宋体" w:cs="宋体"/>
          <w:color w:val="auto"/>
          <w:sz w:val="24"/>
          <w:szCs w:val="24"/>
          <w:shd w:val="clear" w:color="auto" w:fill="FFFFFF"/>
        </w:rPr>
        <w:t>招标文件获取截止时间：</w:t>
      </w:r>
      <w:r>
        <w:rPr>
          <w:rFonts w:ascii="宋体" w:hAnsi="宋体" w:cs="宋体"/>
          <w:color w:val="auto"/>
          <w:sz w:val="24"/>
          <w:szCs w:val="24"/>
          <w:u w:val="single"/>
          <w:shd w:val="clear" w:color="auto" w:fill="FFFFFF"/>
        </w:rPr>
        <w:t>2024</w:t>
      </w:r>
      <w:r>
        <w:rPr>
          <w:rFonts w:hint="eastAsia" w:ascii="宋体" w:hAnsi="宋体" w:cs="宋体"/>
          <w:color w:val="auto"/>
          <w:sz w:val="24"/>
          <w:szCs w:val="24"/>
          <w:u w:val="single"/>
          <w:shd w:val="clear" w:color="auto" w:fill="FFFFFF"/>
        </w:rPr>
        <w:t>年</w:t>
      </w:r>
      <w:r>
        <w:rPr>
          <w:rFonts w:hint="eastAsia" w:ascii="宋体" w:hAnsi="宋体" w:cs="宋体"/>
          <w:color w:val="auto"/>
          <w:sz w:val="24"/>
          <w:szCs w:val="24"/>
          <w:u w:val="single"/>
          <w:shd w:val="clear" w:color="auto" w:fill="FFFFFF"/>
          <w:lang w:val="en-US" w:eastAsia="zh-CN"/>
        </w:rPr>
        <w:t>05</w:t>
      </w:r>
      <w:r>
        <w:rPr>
          <w:rFonts w:hint="eastAsia" w:ascii="宋体" w:hAnsi="宋体" w:cs="宋体"/>
          <w:color w:val="auto"/>
          <w:sz w:val="24"/>
          <w:szCs w:val="24"/>
          <w:u w:val="single"/>
          <w:shd w:val="clear" w:color="auto" w:fill="FFFFFF"/>
        </w:rPr>
        <w:t>月</w:t>
      </w:r>
      <w:r>
        <w:rPr>
          <w:rFonts w:hint="eastAsia" w:ascii="宋体" w:hAnsi="宋体" w:cs="宋体"/>
          <w:color w:val="auto"/>
          <w:sz w:val="24"/>
          <w:szCs w:val="24"/>
          <w:u w:val="single"/>
          <w:shd w:val="clear" w:color="auto" w:fill="FFFFFF"/>
          <w:lang w:val="en-US" w:eastAsia="zh-CN"/>
        </w:rPr>
        <w:t>07</w:t>
      </w:r>
      <w:r>
        <w:rPr>
          <w:rFonts w:hint="eastAsia" w:ascii="宋体" w:hAnsi="宋体" w:cs="宋体"/>
          <w:color w:val="auto"/>
          <w:sz w:val="24"/>
          <w:szCs w:val="24"/>
          <w:u w:val="single"/>
          <w:shd w:val="clear" w:color="auto" w:fill="FFFFFF"/>
        </w:rPr>
        <w:t>日</w:t>
      </w:r>
      <w:r>
        <w:rPr>
          <w:rFonts w:hint="eastAsia" w:ascii="宋体" w:hAnsi="宋体" w:cs="宋体"/>
          <w:color w:val="auto"/>
          <w:sz w:val="24"/>
          <w:szCs w:val="24"/>
          <w:u w:val="single"/>
          <w:shd w:val="clear" w:color="auto" w:fill="FFFFFF"/>
          <w:lang w:val="en-US" w:eastAsia="zh-CN"/>
        </w:rPr>
        <w:t>08</w:t>
      </w:r>
      <w:r>
        <w:rPr>
          <w:rFonts w:ascii="宋体" w:hAnsi="宋体" w:cs="宋体"/>
          <w:color w:val="auto"/>
          <w:sz w:val="24"/>
          <w:szCs w:val="24"/>
          <w:u w:val="single"/>
          <w:shd w:val="clear" w:color="auto" w:fill="FFFFFF"/>
        </w:rPr>
        <w:t>:59:59</w:t>
      </w:r>
      <w:r>
        <w:rPr>
          <w:rFonts w:hint="eastAsia" w:ascii="宋体" w:hAnsi="宋体" w:cs="宋体"/>
          <w:color w:val="auto"/>
          <w:sz w:val="24"/>
          <w:szCs w:val="24"/>
          <w:u w:val="single"/>
          <w:shd w:val="clear" w:color="auto" w:fill="FFFFFF"/>
        </w:rPr>
        <w:t>；</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2.</w:t>
      </w:r>
      <w:r>
        <w:rPr>
          <w:rFonts w:hint="eastAsia" w:ascii="宋体" w:hAnsi="宋体" w:cs="宋体"/>
          <w:color w:val="auto"/>
          <w:sz w:val="24"/>
          <w:szCs w:val="24"/>
          <w:shd w:val="clear" w:color="auto" w:fill="FFFFFF"/>
        </w:rPr>
        <w:t>地点：</w:t>
      </w:r>
      <w:r>
        <w:rPr>
          <w:rFonts w:hint="eastAsia" w:ascii="宋体" w:hAnsi="宋体" w:cs="宋体"/>
          <w:color w:val="auto"/>
          <w:sz w:val="24"/>
          <w:szCs w:val="24"/>
          <w:u w:val="single"/>
          <w:shd w:val="clear" w:color="auto" w:fill="FFFFFF"/>
        </w:rPr>
        <w:t>网上注册登记成功后系统内免费下载</w:t>
      </w:r>
      <w:r>
        <w:rPr>
          <w:rFonts w:hint="eastAsia" w:ascii="宋体" w:hAnsi="宋体" w:cs="宋体"/>
          <w:color w:val="auto"/>
          <w:sz w:val="24"/>
          <w:szCs w:val="24"/>
          <w:shd w:val="clear" w:color="auto" w:fill="FFFFFF"/>
        </w:rPr>
        <w:t>；</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3.</w:t>
      </w:r>
      <w:r>
        <w:rPr>
          <w:rFonts w:hint="eastAsia" w:ascii="宋体" w:hAnsi="宋体" w:cs="宋体"/>
          <w:color w:val="auto"/>
          <w:sz w:val="24"/>
          <w:szCs w:val="24"/>
          <w:shd w:val="clear" w:color="auto" w:fill="FFFFFF"/>
        </w:rPr>
        <w:t>获取方式：</w:t>
      </w:r>
      <w:r>
        <w:rPr>
          <w:rFonts w:hint="eastAsia" w:ascii="宋体" w:hAnsi="宋体" w:cs="宋体"/>
          <w:color w:val="auto"/>
          <w:sz w:val="24"/>
          <w:szCs w:val="24"/>
          <w:u w:val="single"/>
          <w:shd w:val="clear" w:color="auto" w:fill="FFFFFF"/>
        </w:rPr>
        <w:t>本项目采用网上注册登记方式</w:t>
      </w:r>
      <w:r>
        <w:rPr>
          <w:rFonts w:hint="eastAsia" w:ascii="宋体" w:hAnsi="宋体" w:cs="宋体"/>
          <w:color w:val="auto"/>
          <w:sz w:val="24"/>
          <w:szCs w:val="24"/>
          <w:shd w:val="clear" w:color="auto" w:fill="FFFFFF"/>
        </w:rPr>
        <w:t>；</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3.1</w:t>
      </w:r>
      <w:r>
        <w:rPr>
          <w:rFonts w:hint="eastAsia" w:ascii="宋体" w:hAnsi="宋体" w:cs="宋体"/>
          <w:color w:val="auto"/>
          <w:sz w:val="24"/>
          <w:szCs w:val="24"/>
          <w:shd w:val="clear" w:color="auto" w:fill="FFFFFF"/>
        </w:rPr>
        <w:t>潜在供应商访问电子招标响应交易平台的网络地址和方法：“苏采云”系统用户注册</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获取“</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数字证书”</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绑定与登录</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网上报名</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下载采购文件（后缀名为“</w:t>
      </w:r>
      <w:r>
        <w:rPr>
          <w:rFonts w:ascii="宋体" w:hAnsi="宋体" w:cs="宋体"/>
          <w:color w:val="auto"/>
          <w:sz w:val="24"/>
          <w:szCs w:val="24"/>
          <w:shd w:val="clear" w:color="auto" w:fill="FFFFFF"/>
        </w:rPr>
        <w:t>.kedt</w:t>
      </w:r>
      <w:r>
        <w:rPr>
          <w:rFonts w:hint="eastAsia" w:ascii="宋体" w:hAnsi="宋体" w:cs="宋体"/>
          <w:color w:val="auto"/>
          <w:sz w:val="24"/>
          <w:szCs w:val="24"/>
          <w:shd w:val="clear" w:color="auto" w:fill="FFFFFF"/>
        </w:rPr>
        <w:t>”）</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将后缀名为“</w:t>
      </w:r>
      <w:r>
        <w:rPr>
          <w:rFonts w:ascii="宋体" w:hAnsi="宋体" w:cs="宋体"/>
          <w:color w:val="auto"/>
          <w:sz w:val="24"/>
          <w:szCs w:val="24"/>
          <w:shd w:val="clear" w:color="auto" w:fill="FFFFFF"/>
        </w:rPr>
        <w:t>.kedt</w:t>
      </w:r>
      <w:r>
        <w:rPr>
          <w:rFonts w:hint="eastAsia" w:ascii="宋体" w:hAnsi="宋体" w:cs="宋体"/>
          <w:color w:val="auto"/>
          <w:sz w:val="24"/>
          <w:szCs w:val="24"/>
          <w:shd w:val="clear" w:color="auto" w:fill="FFFFFF"/>
        </w:rPr>
        <w:t>”的采购文件导入政府采购客户端工具</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制作响应文件</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导出加密的响应文件（后缀名为</w:t>
      </w:r>
      <w:r>
        <w:rPr>
          <w:rFonts w:ascii="宋体" w:hAnsi="宋体" w:cs="宋体"/>
          <w:color w:val="auto"/>
          <w:sz w:val="24"/>
          <w:szCs w:val="24"/>
          <w:shd w:val="clear" w:color="auto" w:fill="FFFFFF"/>
        </w:rPr>
        <w:t>zip</w:t>
      </w:r>
      <w:r>
        <w:rPr>
          <w:rFonts w:hint="eastAsia" w:ascii="宋体" w:hAnsi="宋体" w:cs="宋体"/>
          <w:color w:val="auto"/>
          <w:sz w:val="24"/>
          <w:szCs w:val="24"/>
          <w:shd w:val="clear" w:color="auto" w:fill="FFFFFF"/>
        </w:rPr>
        <w:t>）</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通过“苏采云”系统上传响应文件。</w:t>
      </w:r>
    </w:p>
    <w:p>
      <w:pPr>
        <w:widowControl/>
        <w:shd w:val="clear" w:color="auto" w:fill="FFFFFF"/>
        <w:spacing w:line="480" w:lineRule="atLeast"/>
        <w:ind w:firstLine="480"/>
        <w:jc w:val="left"/>
        <w:rPr>
          <w:rFonts w:ascii="宋体"/>
          <w:color w:val="auto"/>
        </w:rPr>
      </w:pPr>
      <w:r>
        <w:rPr>
          <w:rFonts w:hint="eastAsia" w:ascii="宋体" w:hAnsi="宋体" w:cs="宋体"/>
          <w:color w:val="auto"/>
          <w:sz w:val="24"/>
          <w:szCs w:val="24"/>
          <w:shd w:val="clear" w:color="auto" w:fill="FFFFFF"/>
        </w:rPr>
        <w:t>具体见《江苏省政府采购管理交易系统（苏采云）供应商操作手册》（手册下载地址：</w:t>
      </w:r>
      <w:bookmarkStart w:id="5" w:name="_Hlk153782741"/>
      <w:r>
        <w:rPr>
          <w:rFonts w:hint="eastAsia" w:ascii="宋体" w:hAnsi="宋体" w:cs="宋体"/>
          <w:color w:val="auto"/>
          <w:sz w:val="24"/>
          <w:szCs w:val="24"/>
          <w:shd w:val="clear" w:color="auto" w:fill="FFFFFF"/>
        </w:rPr>
        <w:t>盐城市政府采购网</w:t>
      </w:r>
      <w:r>
        <w:rPr>
          <w:rFonts w:ascii="宋体" w:hAnsi="宋体" w:cs="宋体"/>
          <w:color w:val="auto"/>
          <w:sz w:val="24"/>
          <w:szCs w:val="24"/>
          <w:shd w:val="clear" w:color="auto" w:fill="FFFFFF"/>
        </w:rPr>
        <w:t>http://czj.yancheng.gov.cn/col/col2383-</w:t>
      </w:r>
      <w:r>
        <w:rPr>
          <w:rFonts w:hint="eastAsia" w:ascii="宋体" w:hAnsi="宋体" w:cs="宋体"/>
          <w:color w:val="auto"/>
          <w:sz w:val="24"/>
          <w:szCs w:val="24"/>
          <w:shd w:val="clear" w:color="auto" w:fill="FFFFFF"/>
        </w:rPr>
        <w:t>办事指南</w:t>
      </w:r>
      <w:bookmarkEnd w:id="5"/>
      <w:r>
        <w:rPr>
          <w:rFonts w:hint="eastAsia" w:ascii="宋体" w:hAnsi="宋体" w:cs="宋体"/>
          <w:color w:val="auto"/>
          <w:sz w:val="24"/>
          <w:szCs w:val="24"/>
          <w:shd w:val="clear" w:color="auto" w:fill="FFFFFF"/>
        </w:rPr>
        <w:t>）；</w:t>
      </w:r>
    </w:p>
    <w:p>
      <w:pPr>
        <w:widowControl/>
        <w:shd w:val="clear" w:color="auto" w:fill="FFFFFF"/>
        <w:spacing w:line="480" w:lineRule="atLeast"/>
        <w:ind w:firstLine="480"/>
        <w:jc w:val="left"/>
        <w:rPr>
          <w:rFonts w:ascii="宋体"/>
          <w:color w:val="auto"/>
          <w:sz w:val="24"/>
          <w:szCs w:val="24"/>
          <w:shd w:val="clear" w:color="auto" w:fill="FFFFFF"/>
        </w:rPr>
      </w:pPr>
      <w:r>
        <w:rPr>
          <w:rFonts w:ascii="宋体" w:hAnsi="宋体" w:cs="宋体"/>
          <w:color w:val="auto"/>
          <w:sz w:val="24"/>
          <w:szCs w:val="24"/>
          <w:shd w:val="clear" w:color="auto" w:fill="FFFFFF"/>
        </w:rPr>
        <w:t>3.2</w:t>
      </w:r>
      <w:r>
        <w:rPr>
          <w:rFonts w:hint="eastAsia" w:ascii="宋体" w:hAnsi="宋体" w:cs="宋体"/>
          <w:color w:val="auto"/>
          <w:sz w:val="24"/>
          <w:szCs w:val="24"/>
          <w:shd w:val="clear" w:color="auto" w:fill="FFFFFF"/>
        </w:rPr>
        <w:t>潜在投标人访问“苏采云”系统的网络地址和方法：“苏采云”系统的网址：</w:t>
      </w:r>
      <w:r>
        <w:rPr>
          <w:rFonts w:ascii="宋体" w:hAnsi="宋体" w:cs="宋体"/>
          <w:color w:val="auto"/>
          <w:sz w:val="24"/>
          <w:szCs w:val="24"/>
          <w:shd w:val="clear" w:color="auto" w:fill="FFFFFF"/>
        </w:rPr>
        <w:t>http://jszfcg.jsczt.cn/</w:t>
      </w:r>
      <w:r>
        <w:rPr>
          <w:rFonts w:hint="eastAsia" w:ascii="宋体" w:hAnsi="宋体" w:cs="宋体"/>
          <w:color w:val="auto"/>
          <w:sz w:val="24"/>
          <w:szCs w:val="24"/>
          <w:shd w:val="clear" w:color="auto" w:fill="FFFFFF"/>
        </w:rPr>
        <w:t>；</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3.3</w:t>
      </w:r>
      <w:r>
        <w:rPr>
          <w:rFonts w:hint="eastAsia" w:ascii="宋体" w:hAnsi="宋体" w:cs="宋体"/>
          <w:color w:val="auto"/>
          <w:sz w:val="24"/>
          <w:szCs w:val="24"/>
          <w:shd w:val="clear" w:color="auto" w:fill="FFFFFF"/>
        </w:rPr>
        <w:t>“</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数字证书”的获取：供应商需办理</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锁，“苏采云”系统目前仅支持政务</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（意源</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数字证书”的办理方法详见《江苏省政府采购数字证书</w:t>
      </w:r>
      <w:r>
        <w:rPr>
          <w:rFonts w:ascii="宋体" w:hAnsi="宋体" w:cs="宋体"/>
          <w:color w:val="auto"/>
          <w:sz w:val="24"/>
          <w:szCs w:val="24"/>
          <w:shd w:val="clear" w:color="auto" w:fill="FFFFFF"/>
        </w:rPr>
        <w:t>(</w:t>
      </w:r>
      <w:r>
        <w:rPr>
          <w:rFonts w:hint="eastAsia" w:ascii="宋体" w:hAnsi="宋体" w:cs="宋体"/>
          <w:color w:val="auto"/>
          <w:sz w:val="24"/>
          <w:szCs w:val="24"/>
          <w:shd w:val="clear" w:color="auto" w:fill="FFFFFF"/>
        </w:rPr>
        <w:t>供应商</w:t>
      </w:r>
      <w:r>
        <w:rPr>
          <w:rFonts w:ascii="宋体" w:hAnsi="宋体" w:cs="宋体"/>
          <w:color w:val="auto"/>
          <w:sz w:val="24"/>
          <w:szCs w:val="24"/>
          <w:shd w:val="clear" w:color="auto" w:fill="FFFFFF"/>
        </w:rPr>
        <w:t>)</w:t>
      </w:r>
      <w:r>
        <w:rPr>
          <w:rFonts w:hint="eastAsia" w:ascii="宋体" w:hAnsi="宋体" w:cs="宋体"/>
          <w:color w:val="auto"/>
          <w:sz w:val="24"/>
          <w:szCs w:val="24"/>
          <w:shd w:val="clear" w:color="auto" w:fill="FFFFFF"/>
        </w:rPr>
        <w:t>数字证书</w:t>
      </w:r>
      <w:r>
        <w:rPr>
          <w:rFonts w:ascii="宋体" w:hAnsi="宋体" w:cs="宋体"/>
          <w:color w:val="auto"/>
          <w:sz w:val="24"/>
          <w:szCs w:val="24"/>
          <w:shd w:val="clear" w:color="auto" w:fill="FFFFFF"/>
        </w:rPr>
        <w:t>CA</w:t>
      </w:r>
      <w:r>
        <w:rPr>
          <w:rFonts w:hint="eastAsia" w:ascii="宋体" w:hAnsi="宋体" w:cs="宋体"/>
          <w:color w:val="auto"/>
          <w:sz w:val="24"/>
          <w:szCs w:val="24"/>
          <w:shd w:val="clear" w:color="auto" w:fill="FFFFFF"/>
        </w:rPr>
        <w:t>及电子签章办理指南》；</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3.4</w:t>
      </w:r>
      <w:r>
        <w:rPr>
          <w:rFonts w:hint="eastAsia" w:ascii="宋体" w:hAnsi="宋体" w:cs="宋体"/>
          <w:color w:val="auto"/>
          <w:sz w:val="24"/>
          <w:szCs w:val="24"/>
          <w:shd w:val="clear" w:color="auto" w:fill="FFFFFF"/>
        </w:rPr>
        <w:t>采购文件（后缀名为“</w:t>
      </w:r>
      <w:r>
        <w:rPr>
          <w:rFonts w:ascii="宋体" w:hAnsi="宋体" w:cs="宋体"/>
          <w:color w:val="auto"/>
          <w:sz w:val="24"/>
          <w:szCs w:val="24"/>
          <w:shd w:val="clear" w:color="auto" w:fill="FFFFFF"/>
        </w:rPr>
        <w:t>.kedt</w:t>
      </w:r>
      <w:r>
        <w:rPr>
          <w:rFonts w:hint="eastAsia" w:ascii="宋体" w:hAnsi="宋体" w:cs="宋体"/>
          <w:color w:val="auto"/>
          <w:sz w:val="24"/>
          <w:szCs w:val="24"/>
          <w:shd w:val="clear" w:color="auto" w:fill="FFFFFF"/>
        </w:rPr>
        <w:t>”）、供应商操作手册及政府采购客户端工具可通过“苏采云”系统</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已报名项目</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报名详情页面内相应链接进行下载；</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3.5</w:t>
      </w:r>
      <w:r>
        <w:rPr>
          <w:rFonts w:hint="eastAsia" w:ascii="宋体" w:hAnsi="宋体" w:cs="宋体"/>
          <w:color w:val="auto"/>
          <w:sz w:val="24"/>
          <w:szCs w:val="24"/>
          <w:shd w:val="clear" w:color="auto" w:fill="FFFFFF"/>
        </w:rPr>
        <w:t>招标代理机构（采购代理机构）将数据电文形式的招标文件加载至“苏采云”系统，供潜在供应商下载或者查阅；</w:t>
      </w:r>
    </w:p>
    <w:p>
      <w:pPr>
        <w:widowControl/>
        <w:shd w:val="clear" w:color="auto" w:fill="FFFFFF"/>
        <w:spacing w:line="480" w:lineRule="atLeast"/>
        <w:ind w:firstLine="472"/>
        <w:jc w:val="left"/>
        <w:rPr>
          <w:rFonts w:ascii="宋体"/>
          <w:color w:val="auto"/>
        </w:rPr>
      </w:pPr>
      <w:r>
        <w:rPr>
          <w:rFonts w:ascii="宋体" w:hAnsi="宋体" w:cs="宋体"/>
          <w:color w:val="auto"/>
          <w:spacing w:val="-2"/>
          <w:sz w:val="24"/>
          <w:szCs w:val="24"/>
          <w:shd w:val="clear" w:color="auto" w:fill="FFFFFF"/>
        </w:rPr>
        <w:t>3.6</w:t>
      </w:r>
      <w:r>
        <w:rPr>
          <w:rFonts w:hint="eastAsia" w:ascii="宋体" w:hAnsi="宋体" w:cs="宋体"/>
          <w:color w:val="auto"/>
          <w:spacing w:val="-2"/>
          <w:sz w:val="24"/>
          <w:szCs w:val="24"/>
          <w:shd w:val="clear" w:color="auto" w:fill="FFFFFF"/>
        </w:rPr>
        <w:t>请潜在投标单位提前安装相应的控件（详见《江苏省政府采购管理交易系统（苏采云）供应商操作手册》）并使用谷歌浏览器登录“苏采云”系统参与不见面开评标。</w:t>
      </w:r>
    </w:p>
    <w:p>
      <w:pPr>
        <w:widowControl/>
        <w:shd w:val="clear" w:color="auto" w:fill="FFFFFF"/>
        <w:spacing w:line="480" w:lineRule="atLeast"/>
        <w:ind w:firstLine="480"/>
        <w:jc w:val="left"/>
        <w:rPr>
          <w:rFonts w:ascii="宋体"/>
          <w:color w:val="auto"/>
        </w:rPr>
      </w:pPr>
      <w:r>
        <w:rPr>
          <w:rFonts w:ascii="宋体" w:hAnsi="宋体" w:cs="宋体"/>
          <w:color w:val="auto"/>
          <w:sz w:val="24"/>
          <w:szCs w:val="24"/>
          <w:shd w:val="clear" w:color="auto" w:fill="FFFFFF"/>
        </w:rPr>
        <w:t>4.</w:t>
      </w:r>
      <w:r>
        <w:rPr>
          <w:rFonts w:hint="eastAsia" w:ascii="宋体" w:hAnsi="宋体" w:cs="宋体"/>
          <w:color w:val="auto"/>
          <w:sz w:val="24"/>
          <w:szCs w:val="24"/>
          <w:shd w:val="clear" w:color="auto" w:fill="FFFFFF"/>
        </w:rPr>
        <w:t>文件售价：</w:t>
      </w:r>
      <w:r>
        <w:rPr>
          <w:rFonts w:hint="eastAsia" w:ascii="宋体" w:hAnsi="宋体" w:cs="宋体"/>
          <w:color w:val="auto"/>
          <w:sz w:val="24"/>
          <w:szCs w:val="24"/>
          <w:u w:val="single"/>
          <w:shd w:val="clear" w:color="auto" w:fill="FFFFFF"/>
        </w:rPr>
        <w:t>免费</w:t>
      </w:r>
      <w:r>
        <w:rPr>
          <w:rFonts w:hint="eastAsia" w:ascii="宋体" w:hAnsi="宋体" w:cs="宋体"/>
          <w:color w:val="auto"/>
          <w:sz w:val="24"/>
          <w:szCs w:val="24"/>
          <w:shd w:val="clear" w:color="auto" w:fill="FFFFFF"/>
        </w:rPr>
        <w:t>。</w:t>
      </w:r>
    </w:p>
    <w:p>
      <w:pPr>
        <w:widowControl/>
        <w:shd w:val="clear" w:color="auto" w:fill="FFFFFF"/>
        <w:spacing w:line="480" w:lineRule="atLeast"/>
        <w:ind w:firstLine="480"/>
        <w:jc w:val="left"/>
        <w:rPr>
          <w:rFonts w:ascii="宋体"/>
          <w:color w:val="auto"/>
        </w:rPr>
      </w:pPr>
      <w:r>
        <w:rPr>
          <w:rFonts w:hint="eastAsia" w:ascii="宋体" w:hAnsi="宋体" w:cs="宋体"/>
          <w:color w:val="auto"/>
          <w:sz w:val="24"/>
          <w:szCs w:val="24"/>
          <w:shd w:val="clear" w:color="auto" w:fill="FFFFFF"/>
        </w:rPr>
        <w:t>如潜在投标人未按上述要求操作，将自行承担所产生的风险。</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四、提交投标文件截止时间、开标时间和地点</w:t>
      </w:r>
    </w:p>
    <w:p>
      <w:pPr>
        <w:widowControl/>
        <w:spacing w:line="480" w:lineRule="exact"/>
        <w:ind w:firstLine="480"/>
        <w:jc w:val="left"/>
        <w:rPr>
          <w:rFonts w:ascii="宋体"/>
          <w:color w:val="auto"/>
          <w:sz w:val="24"/>
          <w:szCs w:val="24"/>
          <w:u w:val="single"/>
        </w:rPr>
      </w:pPr>
      <w:r>
        <w:rPr>
          <w:rFonts w:ascii="宋体" w:hAnsi="宋体" w:cs="宋体"/>
          <w:color w:val="auto"/>
          <w:sz w:val="24"/>
          <w:szCs w:val="24"/>
        </w:rPr>
        <w:t>1.</w:t>
      </w:r>
      <w:r>
        <w:rPr>
          <w:rFonts w:hint="eastAsia" w:ascii="宋体" w:hAnsi="宋体" w:cs="宋体"/>
          <w:color w:val="auto"/>
          <w:sz w:val="24"/>
          <w:szCs w:val="24"/>
        </w:rPr>
        <w:t>线上提交投标文件截止时间：</w:t>
      </w:r>
      <w:r>
        <w:rPr>
          <w:rFonts w:ascii="宋体" w:hAnsi="宋体" w:cs="宋体"/>
          <w:b/>
          <w:bCs/>
          <w:color w:val="auto"/>
          <w:sz w:val="24"/>
          <w:szCs w:val="24"/>
          <w:u w:val="single"/>
        </w:rPr>
        <w:t>2024</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05</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07</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val="en-US" w:eastAsia="zh-CN"/>
        </w:rPr>
        <w:t>09</w:t>
      </w:r>
      <w:r>
        <w:rPr>
          <w:rFonts w:hint="eastAsia" w:ascii="宋体" w:hAnsi="宋体" w:cs="宋体"/>
          <w:b/>
          <w:bCs/>
          <w:color w:val="auto"/>
          <w:sz w:val="24"/>
          <w:szCs w:val="24"/>
          <w:u w:val="single"/>
        </w:rPr>
        <w:t>时</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线上开标时间：</w:t>
      </w:r>
      <w:r>
        <w:rPr>
          <w:rFonts w:ascii="宋体" w:hAnsi="宋体" w:cs="宋体"/>
          <w:b/>
          <w:bCs/>
          <w:color w:val="auto"/>
          <w:sz w:val="24"/>
          <w:szCs w:val="24"/>
          <w:u w:val="single"/>
        </w:rPr>
        <w:t>2024</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05</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07</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val="en-US" w:eastAsia="zh-CN"/>
        </w:rPr>
        <w:t>09</w:t>
      </w:r>
      <w:r>
        <w:rPr>
          <w:rFonts w:hint="eastAsia" w:ascii="宋体" w:hAnsi="宋体" w:cs="宋体"/>
          <w:b/>
          <w:bCs/>
          <w:color w:val="auto"/>
          <w:sz w:val="24"/>
          <w:szCs w:val="24"/>
          <w:u w:val="single"/>
        </w:rPr>
        <w:t>时</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线上开标地点：</w:t>
      </w:r>
      <w:r>
        <w:rPr>
          <w:rFonts w:hint="eastAsia" w:ascii="宋体" w:hAnsi="宋体" w:cs="宋体"/>
          <w:color w:val="auto"/>
          <w:sz w:val="24"/>
          <w:szCs w:val="24"/>
          <w:u w:val="single"/>
        </w:rPr>
        <w:t>“苏采云”系统（网址：</w:t>
      </w:r>
      <w:r>
        <w:rPr>
          <w:rFonts w:ascii="宋体" w:hAnsi="宋体" w:cs="宋体"/>
          <w:color w:val="auto"/>
          <w:sz w:val="24"/>
          <w:szCs w:val="24"/>
          <w:u w:val="single"/>
        </w:rPr>
        <w:t>http://jszfcg.jsczt.cn/</w:t>
      </w:r>
      <w:r>
        <w:rPr>
          <w:rFonts w:hint="eastAsia" w:ascii="宋体" w:hAnsi="宋体" w:cs="宋体"/>
          <w:color w:val="auto"/>
          <w:sz w:val="24"/>
          <w:szCs w:val="24"/>
          <w:u w:val="single"/>
        </w:rPr>
        <w:t>）“开标大厅”</w:t>
      </w:r>
      <w:r>
        <w:rPr>
          <w:rFonts w:hint="eastAsia" w:ascii="宋体" w:hAnsi="宋体" w:cs="宋体"/>
          <w:color w:val="auto"/>
          <w:sz w:val="24"/>
          <w:szCs w:val="24"/>
        </w:rPr>
        <w:t>。</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五、公告期限</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自本公告发布之日起</w:t>
      </w:r>
      <w:r>
        <w:rPr>
          <w:rFonts w:ascii="宋体" w:hAnsi="宋体" w:cs="宋体"/>
          <w:color w:val="auto"/>
          <w:sz w:val="24"/>
          <w:szCs w:val="24"/>
        </w:rPr>
        <w:t>5</w:t>
      </w:r>
      <w:r>
        <w:rPr>
          <w:rFonts w:hint="eastAsia" w:ascii="宋体" w:hAnsi="宋体" w:cs="宋体"/>
          <w:color w:val="auto"/>
          <w:sz w:val="24"/>
          <w:szCs w:val="24"/>
        </w:rPr>
        <w:t>个工作日。</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六、其他补充事宜</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各投标人在投标截止时间前应当每天都上网查询，以便获取更新的澄清、修改、补充内容。凡涉及到该项目的补充说明和修改，均以江苏政府采购网上的更正或补充通知为准。</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投标人如在投标过程中存在以下行为，将被列入不良行为记录名单。</w:t>
      </w:r>
    </w:p>
    <w:p>
      <w:pPr>
        <w:widowControl/>
        <w:spacing w:line="480" w:lineRule="exact"/>
        <w:ind w:firstLine="480"/>
        <w:jc w:val="left"/>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提供虚假材料谋取中标成交的或采取不正当手段诋毁、排挤其他供应商的；</w:t>
      </w:r>
    </w:p>
    <w:p>
      <w:pPr>
        <w:widowControl/>
        <w:spacing w:line="480" w:lineRule="exact"/>
        <w:ind w:firstLine="480"/>
        <w:jc w:val="left"/>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投标人递交无竞争力投标文件的。</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投标人存在串通投标、以他人名义投标、弄虚作假等违法违规行为，或者无正当理由放弃投标、中标资格，造成项目招标失败的，不得参加该项目重新招标的投标。</w:t>
      </w:r>
    </w:p>
    <w:p>
      <w:pPr>
        <w:widowControl/>
        <w:spacing w:line="480" w:lineRule="exact"/>
        <w:ind w:firstLine="480"/>
        <w:jc w:val="left"/>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因供应商的系统环境、操作等原因导致报名、开评标过程中出现问题由供应商自行承担负责。</w:t>
      </w:r>
    </w:p>
    <w:p>
      <w:pPr>
        <w:widowControl/>
        <w:spacing w:line="480" w:lineRule="exact"/>
        <w:ind w:firstLine="480"/>
        <w:jc w:val="lef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除单一来源采购项目外，为采购项目提供整体设计、规范编制或者项目管理、监理、检测等服务的供应商，不得再参加该采购项目的其他采购活动。</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七、对本次招标提出询问，请按以下方式联系</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采购人信息</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名称：建湖县教育局</w:t>
      </w:r>
    </w:p>
    <w:p>
      <w:pPr>
        <w:widowControl/>
        <w:spacing w:line="480" w:lineRule="exact"/>
        <w:ind w:firstLine="480"/>
        <w:jc w:val="left"/>
        <w:rPr>
          <w:rFonts w:ascii="宋体"/>
          <w:color w:val="auto"/>
          <w:sz w:val="24"/>
          <w:szCs w:val="24"/>
          <w:shd w:val="clear" w:color="auto" w:fill="FFFFFF"/>
        </w:rPr>
      </w:pPr>
      <w:r>
        <w:rPr>
          <w:rFonts w:hint="eastAsia" w:ascii="宋体" w:hAnsi="宋体" w:cs="宋体"/>
          <w:color w:val="auto"/>
          <w:sz w:val="24"/>
          <w:szCs w:val="24"/>
        </w:rPr>
        <w:t>地址：江苏省盐城市建湖县城双湖东路</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13914608678</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采购代理机构信息</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名称：江苏辰通项目管理有限公司</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地址：建湖县双湖壹品东门</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13401754148</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项目联系方式</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项目联系人：王工</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13401754148</w:t>
      </w:r>
    </w:p>
    <w:p>
      <w:pPr>
        <w:widowControl/>
        <w:spacing w:line="480" w:lineRule="exact"/>
        <w:ind w:firstLine="480"/>
        <w:jc w:val="left"/>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软件技术支持：</w:t>
      </w:r>
      <w:r>
        <w:rPr>
          <w:rFonts w:ascii="宋体" w:hAnsi="宋体" w:cs="宋体"/>
          <w:color w:val="auto"/>
          <w:sz w:val="24"/>
          <w:szCs w:val="24"/>
        </w:rPr>
        <w:t>0519-86722805</w:t>
      </w:r>
    </w:p>
    <w:p>
      <w:pPr>
        <w:widowControl/>
        <w:spacing w:line="480" w:lineRule="exact"/>
        <w:ind w:firstLine="480"/>
        <w:jc w:val="left"/>
        <w:rPr>
          <w:rFonts w:ascii="宋体"/>
          <w:color w:val="auto"/>
          <w:sz w:val="24"/>
          <w:szCs w:val="24"/>
        </w:rPr>
      </w:pPr>
    </w:p>
    <w:p>
      <w:pPr>
        <w:spacing w:line="460" w:lineRule="exact"/>
        <w:ind w:left="2" w:firstLine="480"/>
        <w:jc w:val="right"/>
        <w:rPr>
          <w:rFonts w:ascii="宋体"/>
          <w:color w:val="auto"/>
          <w:sz w:val="24"/>
          <w:szCs w:val="24"/>
        </w:rPr>
      </w:pPr>
      <w:r>
        <w:rPr>
          <w:rFonts w:hint="eastAsia" w:ascii="宋体" w:hAnsi="宋体" w:cs="宋体"/>
          <w:color w:val="auto"/>
          <w:sz w:val="24"/>
          <w:szCs w:val="24"/>
        </w:rPr>
        <w:t>建湖县教育局</w:t>
      </w:r>
    </w:p>
    <w:p>
      <w:pPr>
        <w:spacing w:before="156" w:after="156" w:line="400" w:lineRule="exact"/>
        <w:jc w:val="right"/>
        <w:outlineLvl w:val="1"/>
        <w:rPr>
          <w:rFonts w:ascii="宋体"/>
          <w:b/>
          <w:bCs/>
          <w:color w:val="auto"/>
          <w:sz w:val="24"/>
          <w:szCs w:val="24"/>
        </w:rPr>
      </w:pPr>
      <w:bookmarkStart w:id="6" w:name="_Toc130206639"/>
      <w:r>
        <w:rPr>
          <w:rFonts w:ascii="宋体" w:hAnsi="宋体" w:cs="宋体"/>
          <w:color w:val="auto"/>
          <w:sz w:val="24"/>
          <w:szCs w:val="24"/>
        </w:rPr>
        <w:t>2024</w:t>
      </w:r>
      <w:r>
        <w:rPr>
          <w:rFonts w:hint="eastAsia" w:ascii="宋体" w:hAnsi="宋体" w:cs="宋体"/>
          <w:color w:val="auto"/>
          <w:sz w:val="24"/>
          <w:szCs w:val="24"/>
        </w:rPr>
        <w:t>年</w:t>
      </w:r>
      <w:r>
        <w:rPr>
          <w:rFonts w:ascii="宋体" w:hAnsi="宋体" w:cs="宋体"/>
          <w:color w:val="auto"/>
          <w:sz w:val="24"/>
          <w:szCs w:val="24"/>
        </w:rPr>
        <w:t>04</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w:t>
      </w:r>
      <w:bookmarkEnd w:id="6"/>
    </w:p>
    <w:p>
      <w:pPr>
        <w:spacing w:before="156" w:after="156" w:line="400" w:lineRule="exact"/>
        <w:ind w:firstLine="482"/>
        <w:jc w:val="center"/>
        <w:outlineLvl w:val="1"/>
        <w:rPr>
          <w:rFonts w:ascii="宋体"/>
          <w:b/>
          <w:bCs/>
          <w:color w:val="auto"/>
          <w:sz w:val="24"/>
          <w:szCs w:val="24"/>
        </w:rPr>
      </w:pPr>
    </w:p>
    <w:p>
      <w:pPr>
        <w:spacing w:before="156" w:after="156" w:line="400" w:lineRule="exact"/>
        <w:ind w:firstLine="482"/>
        <w:jc w:val="center"/>
        <w:outlineLvl w:val="1"/>
        <w:rPr>
          <w:rFonts w:ascii="宋体"/>
          <w:b/>
          <w:bCs/>
          <w:color w:val="auto"/>
          <w:sz w:val="24"/>
          <w:szCs w:val="24"/>
        </w:rPr>
      </w:pPr>
    </w:p>
    <w:p>
      <w:pPr>
        <w:spacing w:before="156" w:after="156" w:line="400" w:lineRule="exact"/>
        <w:ind w:firstLine="482"/>
        <w:jc w:val="center"/>
        <w:outlineLvl w:val="1"/>
        <w:rPr>
          <w:rFonts w:ascii="宋体"/>
          <w:b/>
          <w:bCs/>
          <w:color w:val="auto"/>
          <w:sz w:val="24"/>
          <w:szCs w:val="24"/>
        </w:rPr>
      </w:pPr>
    </w:p>
    <w:p>
      <w:pPr>
        <w:spacing w:before="156" w:after="156" w:line="400" w:lineRule="exact"/>
        <w:ind w:firstLine="482"/>
        <w:jc w:val="center"/>
        <w:outlineLvl w:val="1"/>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pStyle w:val="2"/>
        <w:rPr>
          <w:rFonts w:ascii="宋体"/>
          <w:b/>
          <w:bCs/>
          <w:color w:val="auto"/>
          <w:sz w:val="24"/>
          <w:szCs w:val="24"/>
        </w:rPr>
      </w:pPr>
    </w:p>
    <w:p>
      <w:pPr>
        <w:tabs>
          <w:tab w:val="center" w:pos="4718"/>
        </w:tabs>
        <w:spacing w:line="480" w:lineRule="exact"/>
        <w:ind w:firstLine="643"/>
        <w:jc w:val="center"/>
        <w:outlineLvl w:val="0"/>
        <w:rPr>
          <w:rFonts w:ascii="宋体"/>
          <w:b/>
          <w:bCs/>
          <w:color w:val="auto"/>
          <w:sz w:val="32"/>
          <w:szCs w:val="32"/>
        </w:rPr>
      </w:pPr>
      <w:bookmarkStart w:id="7" w:name="_Toc130206640"/>
      <w:r>
        <w:rPr>
          <w:rFonts w:hint="eastAsia" w:ascii="宋体" w:hAnsi="宋体" w:cs="宋体"/>
          <w:b/>
          <w:bCs/>
          <w:color w:val="auto"/>
          <w:sz w:val="32"/>
          <w:szCs w:val="32"/>
        </w:rPr>
        <w:t>第二章投标须知</w:t>
      </w:r>
      <w:bookmarkEnd w:id="7"/>
    </w:p>
    <w:p>
      <w:pPr>
        <w:spacing w:before="156" w:after="156" w:line="400" w:lineRule="exact"/>
        <w:ind w:left="238" w:firstLine="482"/>
        <w:jc w:val="center"/>
        <w:outlineLvl w:val="1"/>
        <w:rPr>
          <w:rFonts w:ascii="宋体"/>
          <w:b/>
          <w:bCs/>
          <w:color w:val="auto"/>
          <w:sz w:val="24"/>
          <w:szCs w:val="24"/>
        </w:rPr>
      </w:pPr>
      <w:bookmarkStart w:id="8" w:name="_Toc130206641"/>
      <w:bookmarkStart w:id="9" w:name="_Toc120519610"/>
      <w:r>
        <w:rPr>
          <w:rFonts w:hint="eastAsia" w:ascii="宋体" w:hAnsi="宋体" w:cs="宋体"/>
          <w:b/>
          <w:bCs/>
          <w:color w:val="auto"/>
          <w:sz w:val="24"/>
          <w:szCs w:val="24"/>
        </w:rPr>
        <w:t>一、投标须知前附表</w:t>
      </w:r>
      <w:bookmarkEnd w:id="8"/>
      <w:bookmarkEnd w:id="9"/>
    </w:p>
    <w:tbl>
      <w:tblPr>
        <w:tblStyle w:val="43"/>
        <w:tblW w:w="9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677"/>
        <w:gridCol w:w="2417"/>
        <w:gridCol w:w="2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项目名称</w:t>
            </w:r>
          </w:p>
        </w:tc>
        <w:tc>
          <w:tcPr>
            <w:tcW w:w="7511" w:type="dxa"/>
            <w:gridSpan w:val="3"/>
            <w:noWrap w:val="0"/>
            <w:vAlign w:val="center"/>
          </w:tcPr>
          <w:p>
            <w:pPr>
              <w:widowControl/>
              <w:spacing w:line="240" w:lineRule="exact"/>
              <w:ind w:firstLine="400"/>
              <w:jc w:val="center"/>
              <w:rPr>
                <w:rFonts w:ascii="宋体"/>
                <w:color w:val="auto"/>
                <w:sz w:val="20"/>
                <w:szCs w:val="20"/>
              </w:rPr>
            </w:pPr>
            <w:r>
              <w:rPr>
                <w:rFonts w:hint="eastAsia" w:ascii="宋体" w:hAnsi="宋体" w:cs="宋体"/>
                <w:color w:val="auto"/>
                <w:sz w:val="20"/>
                <w:szCs w:val="20"/>
              </w:rPr>
              <w:t>建湖县中高考相关考点广播独立双系统升级改造项目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采购需求</w:t>
            </w:r>
          </w:p>
        </w:tc>
        <w:tc>
          <w:tcPr>
            <w:tcW w:w="7511" w:type="dxa"/>
            <w:gridSpan w:val="3"/>
            <w:noWrap w:val="0"/>
            <w:vAlign w:val="center"/>
          </w:tcPr>
          <w:p>
            <w:pPr>
              <w:widowControl/>
              <w:spacing w:line="240" w:lineRule="exact"/>
              <w:ind w:firstLine="400"/>
              <w:jc w:val="center"/>
              <w:rPr>
                <w:rFonts w:ascii="宋体"/>
                <w:color w:val="auto"/>
                <w:sz w:val="20"/>
                <w:szCs w:val="20"/>
              </w:rPr>
            </w:pPr>
            <w:r>
              <w:rPr>
                <w:rFonts w:hint="eastAsia" w:ascii="宋体" w:hAnsi="宋体" w:cs="宋体"/>
                <w:color w:val="auto"/>
                <w:sz w:val="20"/>
                <w:szCs w:val="20"/>
              </w:rPr>
              <w:t>具体内容详见招标文件第三章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项目地点</w:t>
            </w:r>
          </w:p>
        </w:tc>
        <w:tc>
          <w:tcPr>
            <w:tcW w:w="7511" w:type="dxa"/>
            <w:gridSpan w:val="3"/>
            <w:noWrap w:val="0"/>
            <w:vAlign w:val="center"/>
          </w:tcPr>
          <w:p>
            <w:pPr>
              <w:spacing w:line="240" w:lineRule="exact"/>
              <w:ind w:firstLine="456"/>
              <w:jc w:val="center"/>
              <w:rPr>
                <w:rFonts w:ascii="宋体"/>
                <w:color w:val="auto"/>
                <w:spacing w:val="14"/>
                <w:sz w:val="20"/>
                <w:szCs w:val="20"/>
                <w:shd w:val="clear" w:color="auto" w:fill="FFFFFF"/>
              </w:rPr>
            </w:pPr>
            <w:r>
              <w:rPr>
                <w:rFonts w:hint="eastAsia" w:ascii="宋体" w:hAnsi="宋体" w:cs="宋体"/>
                <w:color w:val="auto"/>
                <w:spacing w:val="14"/>
                <w:sz w:val="20"/>
                <w:szCs w:val="20"/>
                <w:shd w:val="clear" w:color="auto" w:fill="FFFFFF"/>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标段划分</w:t>
            </w:r>
          </w:p>
        </w:tc>
        <w:tc>
          <w:tcPr>
            <w:tcW w:w="7511" w:type="dxa"/>
            <w:gridSpan w:val="3"/>
            <w:noWrap w:val="0"/>
            <w:vAlign w:val="center"/>
          </w:tcPr>
          <w:p>
            <w:pPr>
              <w:spacing w:line="240" w:lineRule="exact"/>
              <w:ind w:firstLine="400"/>
              <w:jc w:val="center"/>
              <w:rPr>
                <w:rFonts w:ascii="宋体"/>
                <w:color w:val="auto"/>
                <w:sz w:val="20"/>
                <w:szCs w:val="20"/>
              </w:rPr>
            </w:pPr>
            <w:r>
              <w:rPr>
                <w:rFonts w:hint="eastAsia" w:ascii="宋体" w:hAnsi="宋体" w:cs="宋体"/>
                <w:color w:val="auto"/>
                <w:sz w:val="20"/>
                <w:szCs w:val="20"/>
              </w:rPr>
              <w:t>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采购单位联系人</w:t>
            </w:r>
          </w:p>
        </w:tc>
        <w:tc>
          <w:tcPr>
            <w:tcW w:w="2677" w:type="dxa"/>
            <w:noWrap w:val="0"/>
            <w:vAlign w:val="center"/>
          </w:tcPr>
          <w:p>
            <w:pPr>
              <w:spacing w:line="240" w:lineRule="exact"/>
              <w:ind w:firstLine="400"/>
              <w:jc w:val="center"/>
              <w:rPr>
                <w:rFonts w:ascii="宋体"/>
                <w:color w:val="auto"/>
                <w:sz w:val="20"/>
                <w:szCs w:val="20"/>
              </w:rPr>
            </w:pPr>
            <w:r>
              <w:rPr>
                <w:rFonts w:hint="eastAsia" w:ascii="宋体" w:hAnsi="宋体" w:cs="宋体"/>
                <w:color w:val="auto"/>
                <w:sz w:val="20"/>
                <w:szCs w:val="20"/>
              </w:rPr>
              <w:t>王先生</w:t>
            </w:r>
          </w:p>
        </w:tc>
        <w:tc>
          <w:tcPr>
            <w:tcW w:w="2417" w:type="dxa"/>
            <w:noWrap w:val="0"/>
            <w:vAlign w:val="center"/>
          </w:tcPr>
          <w:p>
            <w:pPr>
              <w:spacing w:line="240" w:lineRule="exact"/>
              <w:ind w:firstLine="400"/>
              <w:jc w:val="center"/>
              <w:rPr>
                <w:rFonts w:ascii="宋体"/>
                <w:color w:val="auto"/>
                <w:sz w:val="20"/>
                <w:szCs w:val="20"/>
              </w:rPr>
            </w:pPr>
            <w:r>
              <w:rPr>
                <w:rFonts w:hint="eastAsia" w:ascii="宋体" w:hAnsi="宋体" w:cs="宋体"/>
                <w:color w:val="auto"/>
                <w:sz w:val="20"/>
                <w:szCs w:val="20"/>
              </w:rPr>
              <w:t>电话</w:t>
            </w:r>
          </w:p>
        </w:tc>
        <w:tc>
          <w:tcPr>
            <w:tcW w:w="2417" w:type="dxa"/>
            <w:noWrap w:val="0"/>
            <w:vAlign w:val="center"/>
          </w:tcPr>
          <w:p>
            <w:pPr>
              <w:spacing w:line="240" w:lineRule="exact"/>
              <w:ind w:firstLine="400"/>
              <w:jc w:val="center"/>
              <w:rPr>
                <w:rFonts w:ascii="宋体"/>
                <w:color w:val="auto"/>
                <w:sz w:val="20"/>
                <w:szCs w:val="20"/>
              </w:rPr>
            </w:pPr>
            <w:r>
              <w:rPr>
                <w:rFonts w:ascii="宋体" w:hAnsi="宋体" w:cs="宋体"/>
                <w:color w:val="auto"/>
                <w:sz w:val="20"/>
                <w:szCs w:val="20"/>
              </w:rPr>
              <w:t>13914608678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代理机构联系人</w:t>
            </w:r>
          </w:p>
        </w:tc>
        <w:tc>
          <w:tcPr>
            <w:tcW w:w="2677" w:type="dxa"/>
            <w:noWrap w:val="0"/>
            <w:vAlign w:val="center"/>
          </w:tcPr>
          <w:p>
            <w:pPr>
              <w:spacing w:line="240" w:lineRule="exact"/>
              <w:ind w:firstLine="400"/>
              <w:jc w:val="center"/>
              <w:rPr>
                <w:rFonts w:ascii="宋体"/>
                <w:color w:val="auto"/>
                <w:sz w:val="20"/>
                <w:szCs w:val="20"/>
              </w:rPr>
            </w:pPr>
            <w:r>
              <w:rPr>
                <w:rFonts w:hint="eastAsia" w:ascii="宋体" w:hAnsi="宋体" w:cs="宋体"/>
                <w:color w:val="auto"/>
                <w:sz w:val="20"/>
                <w:szCs w:val="20"/>
              </w:rPr>
              <w:t>王先生</w:t>
            </w:r>
          </w:p>
        </w:tc>
        <w:tc>
          <w:tcPr>
            <w:tcW w:w="2417" w:type="dxa"/>
            <w:noWrap w:val="0"/>
            <w:vAlign w:val="center"/>
          </w:tcPr>
          <w:p>
            <w:pPr>
              <w:spacing w:line="240" w:lineRule="exact"/>
              <w:ind w:firstLine="400"/>
              <w:jc w:val="center"/>
              <w:rPr>
                <w:rFonts w:ascii="宋体"/>
                <w:color w:val="auto"/>
                <w:sz w:val="20"/>
                <w:szCs w:val="20"/>
              </w:rPr>
            </w:pPr>
            <w:r>
              <w:rPr>
                <w:rFonts w:hint="eastAsia" w:ascii="宋体" w:hAnsi="宋体" w:cs="宋体"/>
                <w:color w:val="auto"/>
                <w:sz w:val="20"/>
                <w:szCs w:val="20"/>
              </w:rPr>
              <w:t>电话</w:t>
            </w:r>
          </w:p>
        </w:tc>
        <w:tc>
          <w:tcPr>
            <w:tcW w:w="2417" w:type="dxa"/>
            <w:noWrap w:val="0"/>
            <w:vAlign w:val="center"/>
          </w:tcPr>
          <w:p>
            <w:pPr>
              <w:spacing w:line="240" w:lineRule="exact"/>
              <w:ind w:firstLine="400"/>
              <w:jc w:val="center"/>
              <w:rPr>
                <w:rFonts w:ascii="宋体"/>
                <w:color w:val="auto"/>
                <w:sz w:val="20"/>
                <w:szCs w:val="20"/>
              </w:rPr>
            </w:pPr>
            <w:r>
              <w:rPr>
                <w:rFonts w:ascii="宋体" w:hAnsi="宋体" w:cs="宋体"/>
                <w:color w:val="auto"/>
                <w:sz w:val="20"/>
                <w:szCs w:val="20"/>
              </w:rPr>
              <w:t>13401754148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投标保证金</w:t>
            </w:r>
          </w:p>
        </w:tc>
        <w:tc>
          <w:tcPr>
            <w:tcW w:w="7511" w:type="dxa"/>
            <w:gridSpan w:val="3"/>
            <w:noWrap w:val="0"/>
            <w:vAlign w:val="center"/>
          </w:tcPr>
          <w:p>
            <w:pPr>
              <w:spacing w:line="240" w:lineRule="exact"/>
              <w:ind w:firstLine="400"/>
              <w:rPr>
                <w:rFonts w:ascii="宋体"/>
                <w:color w:val="auto"/>
                <w:sz w:val="20"/>
                <w:szCs w:val="20"/>
              </w:rPr>
            </w:pPr>
            <w:r>
              <w:rPr>
                <w:rFonts w:hint="eastAsia" w:ascii="宋体" w:hAnsi="宋体" w:cs="宋体"/>
                <w:color w:val="auto"/>
                <w:sz w:val="20"/>
                <w:szCs w:val="20"/>
              </w:rPr>
              <w:t>为贯彻落实苏财购</w:t>
            </w:r>
            <w:r>
              <w:rPr>
                <w:rFonts w:ascii="宋体" w:hAnsi="宋体" w:cs="宋体"/>
                <w:color w:val="auto"/>
                <w:sz w:val="20"/>
                <w:szCs w:val="20"/>
              </w:rPr>
              <w:t>[2020]52</w:t>
            </w:r>
            <w:r>
              <w:rPr>
                <w:rFonts w:hint="eastAsia" w:ascii="宋体" w:hAnsi="宋体" w:cs="宋体"/>
                <w:color w:val="auto"/>
                <w:sz w:val="20"/>
                <w:szCs w:val="20"/>
              </w:rPr>
              <w:t>号文件精神，该项目投标人可免交投标保证金。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履约保证金</w:t>
            </w:r>
          </w:p>
        </w:tc>
        <w:tc>
          <w:tcPr>
            <w:tcW w:w="7511" w:type="dxa"/>
            <w:gridSpan w:val="3"/>
            <w:noWrap w:val="0"/>
            <w:vAlign w:val="center"/>
          </w:tcPr>
          <w:p>
            <w:pPr>
              <w:widowControl/>
              <w:spacing w:line="300" w:lineRule="exact"/>
              <w:ind w:firstLine="400"/>
              <w:jc w:val="left"/>
              <w:rPr>
                <w:rFonts w:ascii="宋体"/>
                <w:color w:val="auto"/>
                <w:sz w:val="20"/>
                <w:szCs w:val="20"/>
              </w:rPr>
            </w:pPr>
            <w:r>
              <w:rPr>
                <w:rFonts w:hint="eastAsia" w:ascii="宋体" w:hAnsi="宋体" w:cs="宋体"/>
                <w:color w:val="auto"/>
                <w:sz w:val="20"/>
                <w:szCs w:val="20"/>
              </w:rPr>
              <w:t>中标单位在签订合同前须向采购人交纳中标价的</w:t>
            </w:r>
            <w:r>
              <w:rPr>
                <w:rFonts w:ascii="宋体" w:hAnsi="宋体" w:cs="宋体"/>
                <w:color w:val="auto"/>
                <w:sz w:val="20"/>
                <w:szCs w:val="20"/>
              </w:rPr>
              <w:t>5%</w:t>
            </w:r>
            <w:r>
              <w:rPr>
                <w:rFonts w:hint="eastAsia" w:ascii="宋体" w:hAnsi="宋体" w:cs="宋体"/>
                <w:color w:val="auto"/>
                <w:sz w:val="20"/>
                <w:szCs w:val="20"/>
              </w:rPr>
              <w:t>作为履约保证金，规划期内项目结束后退还。履约保证金用以约束成交供应商在合同履行中的行为，弥补合同执行中由于自身行为可能给采购人带来的各种损失。对提供第三方信用服务机构依据标准规范评定为</w:t>
            </w:r>
            <w:r>
              <w:rPr>
                <w:rFonts w:ascii="宋体" w:hAnsi="宋体" w:cs="宋体"/>
                <w:color w:val="auto"/>
                <w:sz w:val="20"/>
                <w:szCs w:val="20"/>
              </w:rPr>
              <w:t>AA</w:t>
            </w:r>
            <w:r>
              <w:rPr>
                <w:rFonts w:hint="eastAsia" w:ascii="宋体" w:hAnsi="宋体" w:cs="宋体"/>
                <w:color w:val="auto"/>
                <w:sz w:val="20"/>
                <w:szCs w:val="20"/>
              </w:rPr>
              <w:t>级及以上的政府采购供应商（须在签订采购合同前提供信用管理部门备案的第三方信用报告，且信用报告通过“信用盐城网”可查实）向采购人交纳中标价</w:t>
            </w:r>
            <w:r>
              <w:rPr>
                <w:rFonts w:ascii="宋体" w:hAnsi="宋体" w:cs="宋体"/>
                <w:color w:val="auto"/>
                <w:sz w:val="20"/>
                <w:szCs w:val="20"/>
              </w:rPr>
              <w:t>2.5%</w:t>
            </w:r>
            <w:r>
              <w:rPr>
                <w:rFonts w:hint="eastAsia" w:ascii="宋体" w:hAnsi="宋体" w:cs="宋体"/>
                <w:color w:val="auto"/>
                <w:sz w:val="20"/>
                <w:szCs w:val="20"/>
              </w:rPr>
              <w:t>的履约保证金。履约保证金形式：供应商应当以支票、汇票、本票或者金融机构、担保机构出具的保函等非现金形式提交。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合同履行期限</w:t>
            </w:r>
          </w:p>
        </w:tc>
        <w:tc>
          <w:tcPr>
            <w:tcW w:w="7511" w:type="dxa"/>
            <w:gridSpan w:val="3"/>
            <w:noWrap w:val="0"/>
            <w:vAlign w:val="center"/>
          </w:tcPr>
          <w:p>
            <w:pPr>
              <w:spacing w:line="240" w:lineRule="exact"/>
              <w:ind w:firstLine="400"/>
              <w:jc w:val="left"/>
              <w:rPr>
                <w:rFonts w:ascii="宋体"/>
                <w:color w:val="auto"/>
                <w:sz w:val="20"/>
                <w:szCs w:val="20"/>
              </w:rPr>
            </w:pPr>
            <w:r>
              <w:rPr>
                <w:rFonts w:hint="eastAsia" w:ascii="宋体" w:hAnsi="宋体" w:cs="宋体"/>
                <w:color w:val="auto"/>
                <w:sz w:val="20"/>
                <w:szCs w:val="20"/>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投标有效期</w:t>
            </w:r>
          </w:p>
        </w:tc>
        <w:tc>
          <w:tcPr>
            <w:tcW w:w="7511" w:type="dxa"/>
            <w:gridSpan w:val="3"/>
            <w:noWrap w:val="0"/>
            <w:vAlign w:val="center"/>
          </w:tcPr>
          <w:p>
            <w:pPr>
              <w:spacing w:line="240" w:lineRule="exact"/>
              <w:ind w:firstLine="400"/>
              <w:jc w:val="left"/>
              <w:rPr>
                <w:rFonts w:ascii="宋体"/>
                <w:color w:val="auto"/>
                <w:sz w:val="20"/>
                <w:szCs w:val="20"/>
              </w:rPr>
            </w:pPr>
            <w:r>
              <w:rPr>
                <w:rFonts w:hint="eastAsia" w:ascii="宋体" w:hAnsi="宋体" w:cs="宋体"/>
                <w:color w:val="auto"/>
                <w:sz w:val="20"/>
                <w:szCs w:val="20"/>
              </w:rPr>
              <w:t>投标截止日起</w:t>
            </w:r>
            <w:r>
              <w:rPr>
                <w:rFonts w:ascii="宋体" w:hAnsi="宋体" w:cs="宋体"/>
                <w:color w:val="auto"/>
                <w:sz w:val="20"/>
                <w:szCs w:val="20"/>
              </w:rPr>
              <w:t>60</w:t>
            </w:r>
            <w:r>
              <w:rPr>
                <w:rFonts w:hint="eastAsia" w:ascii="宋体" w:hAnsi="宋体" w:cs="宋体"/>
                <w:color w:val="auto"/>
                <w:sz w:val="20"/>
                <w:szCs w:val="20"/>
              </w:rPr>
              <w:t>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投标截止时间</w:t>
            </w:r>
          </w:p>
        </w:tc>
        <w:tc>
          <w:tcPr>
            <w:tcW w:w="7511" w:type="dxa"/>
            <w:gridSpan w:val="3"/>
            <w:noWrap w:val="0"/>
            <w:vAlign w:val="center"/>
          </w:tcPr>
          <w:p>
            <w:pPr>
              <w:spacing w:line="400" w:lineRule="exact"/>
              <w:ind w:firstLine="402"/>
              <w:jc w:val="left"/>
              <w:rPr>
                <w:rFonts w:ascii="宋体"/>
                <w:b/>
                <w:bCs/>
                <w:color w:val="auto"/>
                <w:sz w:val="20"/>
                <w:szCs w:val="20"/>
              </w:rPr>
            </w:pPr>
            <w:r>
              <w:rPr>
                <w:rFonts w:hint="eastAsia" w:ascii="宋体" w:hAnsi="宋体" w:cs="宋体"/>
                <w:b/>
                <w:bCs/>
                <w:color w:val="auto"/>
                <w:sz w:val="20"/>
                <w:szCs w:val="20"/>
              </w:rPr>
              <w:t>时间</w:t>
            </w:r>
            <w:r>
              <w:rPr>
                <w:rFonts w:ascii="宋体" w:hAnsi="宋体" w:cs="宋体"/>
                <w:b/>
                <w:bCs/>
                <w:color w:val="auto"/>
                <w:sz w:val="20"/>
                <w:szCs w:val="20"/>
              </w:rPr>
              <w:t>:</w:t>
            </w:r>
            <w:r>
              <w:rPr>
                <w:rFonts w:ascii="宋体" w:hAnsi="宋体" w:cs="宋体"/>
                <w:b/>
                <w:bCs/>
                <w:color w:val="auto"/>
                <w:sz w:val="20"/>
                <w:szCs w:val="20"/>
                <w:u w:val="single"/>
              </w:rPr>
              <w:t>2024</w:t>
            </w:r>
            <w:r>
              <w:rPr>
                <w:rFonts w:hint="eastAsia" w:ascii="宋体" w:hAnsi="宋体" w:cs="宋体"/>
                <w:b/>
                <w:bCs/>
                <w:color w:val="auto"/>
                <w:sz w:val="20"/>
                <w:szCs w:val="20"/>
                <w:u w:val="single"/>
              </w:rPr>
              <w:t>年</w:t>
            </w:r>
            <w:r>
              <w:rPr>
                <w:rFonts w:hint="eastAsia" w:ascii="宋体" w:hAnsi="宋体" w:cs="宋体"/>
                <w:b/>
                <w:bCs/>
                <w:color w:val="auto"/>
                <w:sz w:val="20"/>
                <w:szCs w:val="20"/>
                <w:u w:val="single"/>
                <w:lang w:val="en-US" w:eastAsia="zh-CN"/>
              </w:rPr>
              <w:t>05</w:t>
            </w:r>
            <w:r>
              <w:rPr>
                <w:rFonts w:hint="eastAsia" w:ascii="宋体" w:hAnsi="宋体" w:cs="宋体"/>
                <w:b/>
                <w:bCs/>
                <w:color w:val="auto"/>
                <w:sz w:val="20"/>
                <w:szCs w:val="20"/>
                <w:u w:val="single"/>
              </w:rPr>
              <w:t>月</w:t>
            </w:r>
            <w:r>
              <w:rPr>
                <w:rFonts w:hint="eastAsia" w:ascii="宋体" w:hAnsi="宋体" w:cs="宋体"/>
                <w:b/>
                <w:bCs/>
                <w:color w:val="auto"/>
                <w:sz w:val="20"/>
                <w:szCs w:val="20"/>
                <w:u w:val="single"/>
                <w:lang w:val="en-US" w:eastAsia="zh-CN"/>
              </w:rPr>
              <w:t>07</w:t>
            </w:r>
            <w:r>
              <w:rPr>
                <w:rFonts w:hint="eastAsia" w:ascii="宋体" w:hAnsi="宋体" w:cs="宋体"/>
                <w:b/>
                <w:bCs/>
                <w:color w:val="auto"/>
                <w:sz w:val="20"/>
                <w:szCs w:val="20"/>
                <w:u w:val="single"/>
              </w:rPr>
              <w:t>日</w:t>
            </w:r>
            <w:r>
              <w:rPr>
                <w:rFonts w:hint="eastAsia" w:ascii="宋体" w:hAnsi="宋体" w:cs="宋体"/>
                <w:b/>
                <w:bCs/>
                <w:color w:val="auto"/>
                <w:sz w:val="20"/>
                <w:szCs w:val="20"/>
                <w:u w:val="single"/>
                <w:lang w:val="en-US" w:eastAsia="zh-CN"/>
              </w:rPr>
              <w:t>09</w:t>
            </w:r>
            <w:r>
              <w:rPr>
                <w:rFonts w:hint="eastAsia" w:ascii="宋体" w:hAnsi="宋体" w:cs="宋体"/>
                <w:b/>
                <w:bCs/>
                <w:color w:val="auto"/>
                <w:sz w:val="20"/>
                <w:szCs w:val="20"/>
                <w:u w:val="single"/>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开标时间及地点</w:t>
            </w:r>
          </w:p>
        </w:tc>
        <w:tc>
          <w:tcPr>
            <w:tcW w:w="7511" w:type="dxa"/>
            <w:gridSpan w:val="3"/>
            <w:noWrap w:val="0"/>
            <w:vAlign w:val="center"/>
          </w:tcPr>
          <w:p>
            <w:pPr>
              <w:spacing w:line="400" w:lineRule="exact"/>
              <w:ind w:firstLine="402"/>
              <w:jc w:val="left"/>
              <w:rPr>
                <w:rFonts w:ascii="宋体"/>
                <w:b/>
                <w:bCs/>
                <w:color w:val="auto"/>
                <w:sz w:val="20"/>
                <w:szCs w:val="20"/>
                <w:u w:val="single"/>
              </w:rPr>
            </w:pPr>
            <w:r>
              <w:rPr>
                <w:rFonts w:hint="eastAsia" w:ascii="宋体" w:hAnsi="宋体" w:cs="宋体"/>
                <w:b/>
                <w:bCs/>
                <w:color w:val="auto"/>
                <w:sz w:val="20"/>
                <w:szCs w:val="20"/>
              </w:rPr>
              <w:t>时间</w:t>
            </w:r>
            <w:r>
              <w:rPr>
                <w:rFonts w:ascii="宋体" w:hAnsi="宋体" w:cs="宋体"/>
                <w:b/>
                <w:bCs/>
                <w:color w:val="auto"/>
                <w:sz w:val="20"/>
                <w:szCs w:val="20"/>
              </w:rPr>
              <w:t>:</w:t>
            </w:r>
            <w:r>
              <w:rPr>
                <w:rFonts w:ascii="宋体" w:hAnsi="宋体" w:cs="宋体"/>
                <w:b/>
                <w:bCs/>
                <w:color w:val="auto"/>
                <w:sz w:val="20"/>
                <w:szCs w:val="20"/>
                <w:u w:val="single"/>
              </w:rPr>
              <w:t>2024</w:t>
            </w:r>
            <w:r>
              <w:rPr>
                <w:rFonts w:hint="eastAsia" w:ascii="宋体" w:hAnsi="宋体" w:cs="宋体"/>
                <w:b/>
                <w:bCs/>
                <w:color w:val="auto"/>
                <w:sz w:val="20"/>
                <w:szCs w:val="20"/>
                <w:u w:val="single"/>
              </w:rPr>
              <w:t>年</w:t>
            </w:r>
            <w:r>
              <w:rPr>
                <w:rFonts w:hint="eastAsia" w:ascii="宋体" w:hAnsi="宋体" w:cs="宋体"/>
                <w:b/>
                <w:bCs/>
                <w:color w:val="auto"/>
                <w:sz w:val="20"/>
                <w:szCs w:val="20"/>
                <w:u w:val="single"/>
                <w:lang w:val="en-US" w:eastAsia="zh-CN"/>
              </w:rPr>
              <w:t>05</w:t>
            </w:r>
            <w:r>
              <w:rPr>
                <w:rFonts w:hint="eastAsia" w:ascii="宋体" w:hAnsi="宋体" w:cs="宋体"/>
                <w:b/>
                <w:bCs/>
                <w:color w:val="auto"/>
                <w:sz w:val="20"/>
                <w:szCs w:val="20"/>
                <w:u w:val="single"/>
              </w:rPr>
              <w:t>月</w:t>
            </w:r>
            <w:r>
              <w:rPr>
                <w:rFonts w:hint="eastAsia" w:ascii="宋体" w:hAnsi="宋体" w:cs="宋体"/>
                <w:b/>
                <w:bCs/>
                <w:color w:val="auto"/>
                <w:sz w:val="20"/>
                <w:szCs w:val="20"/>
                <w:u w:val="single"/>
                <w:lang w:val="en-US" w:eastAsia="zh-CN"/>
              </w:rPr>
              <w:t>07</w:t>
            </w:r>
            <w:r>
              <w:rPr>
                <w:rFonts w:hint="eastAsia" w:ascii="宋体" w:hAnsi="宋体" w:cs="宋体"/>
                <w:b/>
                <w:bCs/>
                <w:color w:val="auto"/>
                <w:sz w:val="20"/>
                <w:szCs w:val="20"/>
                <w:u w:val="single"/>
              </w:rPr>
              <w:t>日</w:t>
            </w:r>
            <w:r>
              <w:rPr>
                <w:rFonts w:hint="eastAsia" w:ascii="宋体" w:hAnsi="宋体" w:cs="宋体"/>
                <w:b/>
                <w:bCs/>
                <w:color w:val="auto"/>
                <w:sz w:val="20"/>
                <w:szCs w:val="20"/>
                <w:u w:val="single"/>
                <w:lang w:val="en-US" w:eastAsia="zh-CN"/>
              </w:rPr>
              <w:t>09</w:t>
            </w:r>
            <w:r>
              <w:rPr>
                <w:rFonts w:hint="eastAsia" w:ascii="宋体" w:hAnsi="宋体" w:cs="宋体"/>
                <w:b/>
                <w:bCs/>
                <w:color w:val="auto"/>
                <w:sz w:val="20"/>
                <w:szCs w:val="20"/>
                <w:u w:val="single"/>
              </w:rPr>
              <w:t>时</w:t>
            </w:r>
          </w:p>
          <w:p>
            <w:pPr>
              <w:spacing w:line="400" w:lineRule="exact"/>
              <w:ind w:firstLine="402"/>
              <w:jc w:val="left"/>
              <w:rPr>
                <w:rFonts w:ascii="宋体"/>
                <w:b/>
                <w:bCs/>
                <w:color w:val="auto"/>
                <w:sz w:val="20"/>
                <w:szCs w:val="20"/>
              </w:rPr>
            </w:pPr>
            <w:r>
              <w:rPr>
                <w:rFonts w:hint="eastAsia" w:ascii="宋体" w:hAnsi="宋体" w:cs="宋体"/>
                <w:b/>
                <w:bCs/>
                <w:color w:val="auto"/>
                <w:sz w:val="20"/>
                <w:szCs w:val="20"/>
              </w:rPr>
              <w:t>地点</w:t>
            </w:r>
            <w:r>
              <w:rPr>
                <w:rFonts w:ascii="宋体" w:hAnsi="宋体" w:cs="宋体"/>
                <w:b/>
                <w:bCs/>
                <w:color w:val="auto"/>
                <w:sz w:val="20"/>
                <w:szCs w:val="20"/>
              </w:rPr>
              <w:t>:</w:t>
            </w:r>
            <w:r>
              <w:rPr>
                <w:rFonts w:hint="eastAsia" w:ascii="宋体" w:hAnsi="宋体" w:cs="宋体"/>
                <w:b/>
                <w:bCs/>
                <w:color w:val="auto"/>
                <w:sz w:val="20"/>
                <w:szCs w:val="20"/>
                <w:u w:val="single"/>
              </w:rPr>
              <w:t>建湖县公共资源交易中心不见面开标厅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702" w:type="dxa"/>
            <w:noWrap w:val="0"/>
            <w:vAlign w:val="center"/>
          </w:tcPr>
          <w:p>
            <w:pPr>
              <w:spacing w:line="240" w:lineRule="exact"/>
              <w:jc w:val="center"/>
              <w:rPr>
                <w:rFonts w:ascii="宋体"/>
                <w:color w:val="auto"/>
                <w:sz w:val="24"/>
                <w:szCs w:val="24"/>
              </w:rPr>
            </w:pPr>
            <w:r>
              <w:rPr>
                <w:rFonts w:hint="eastAsia" w:ascii="宋体" w:hAnsi="宋体" w:cs="宋体"/>
                <w:color w:val="auto"/>
                <w:sz w:val="20"/>
                <w:szCs w:val="20"/>
              </w:rPr>
              <w:t>投标文件</w:t>
            </w:r>
          </w:p>
        </w:tc>
        <w:tc>
          <w:tcPr>
            <w:tcW w:w="7511" w:type="dxa"/>
            <w:gridSpan w:val="3"/>
            <w:noWrap w:val="0"/>
            <w:vAlign w:val="center"/>
          </w:tcPr>
          <w:p>
            <w:pPr>
              <w:spacing w:line="400" w:lineRule="exact"/>
              <w:ind w:firstLine="400"/>
              <w:jc w:val="left"/>
              <w:rPr>
                <w:rFonts w:ascii="宋体"/>
                <w:b/>
                <w:bCs/>
                <w:color w:val="auto"/>
                <w:sz w:val="24"/>
                <w:szCs w:val="24"/>
              </w:rPr>
            </w:pPr>
            <w:r>
              <w:rPr>
                <w:rFonts w:hint="eastAsia" w:ascii="宋体" w:hAnsi="宋体" w:cs="宋体"/>
                <w:color w:val="auto"/>
                <w:sz w:val="20"/>
                <w:szCs w:val="20"/>
              </w:rPr>
              <w:t>电子投标文件一份</w:t>
            </w:r>
            <w:r>
              <w:rPr>
                <w:rFonts w:ascii="宋体" w:hAnsi="宋体" w:cs="宋体"/>
                <w:color w:val="auto"/>
                <w:sz w:val="20"/>
                <w:szCs w:val="20"/>
              </w:rPr>
              <w:t>(</w:t>
            </w:r>
            <w:r>
              <w:rPr>
                <w:rFonts w:hint="eastAsia" w:ascii="宋体" w:hAnsi="宋体" w:cs="宋体"/>
                <w:color w:val="auto"/>
                <w:sz w:val="20"/>
                <w:szCs w:val="20"/>
              </w:rPr>
              <w:t>通过系统提交</w:t>
            </w:r>
            <w:r>
              <w:rPr>
                <w:rFonts w:ascii="宋体" w:hAnsi="宋体" w:cs="宋体"/>
                <w:color w:val="auto"/>
                <w:sz w:val="20"/>
                <w:szCs w:val="20"/>
              </w:rPr>
              <w:t>)</w:t>
            </w:r>
            <w:r>
              <w:rPr>
                <w:rFonts w:hint="eastAsia" w:ascii="宋体" w:hAnsi="宋体" w:cs="宋体"/>
                <w:color w:val="auto"/>
                <w:sz w:val="20"/>
                <w:szCs w:val="20"/>
              </w:rPr>
              <w:t>，纸质投标文件正本一份，副本一份（中标公告后由中标人邮寄至江苏辰通项目管理有限公司，未中标单位不需要提供）。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预算金额</w:t>
            </w:r>
          </w:p>
        </w:tc>
        <w:tc>
          <w:tcPr>
            <w:tcW w:w="7511" w:type="dxa"/>
            <w:gridSpan w:val="3"/>
            <w:noWrap w:val="0"/>
            <w:vAlign w:val="center"/>
          </w:tcPr>
          <w:p>
            <w:pPr>
              <w:spacing w:line="240" w:lineRule="exact"/>
              <w:ind w:firstLine="400"/>
              <w:jc w:val="left"/>
              <w:rPr>
                <w:rFonts w:ascii="宋体"/>
                <w:color w:val="auto"/>
                <w:sz w:val="20"/>
                <w:szCs w:val="20"/>
              </w:rPr>
            </w:pPr>
            <w:r>
              <w:rPr>
                <w:rFonts w:hint="eastAsia" w:ascii="宋体" w:hAnsi="宋体" w:cs="宋体"/>
                <w:color w:val="auto"/>
                <w:sz w:val="20"/>
                <w:szCs w:val="20"/>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评标办法</w:t>
            </w:r>
          </w:p>
        </w:tc>
        <w:tc>
          <w:tcPr>
            <w:tcW w:w="7511" w:type="dxa"/>
            <w:gridSpan w:val="3"/>
            <w:noWrap w:val="0"/>
            <w:vAlign w:val="center"/>
          </w:tcPr>
          <w:p>
            <w:pPr>
              <w:spacing w:line="240" w:lineRule="exact"/>
              <w:ind w:firstLine="400"/>
              <w:jc w:val="left"/>
              <w:rPr>
                <w:rFonts w:ascii="宋体"/>
                <w:color w:val="auto"/>
                <w:sz w:val="20"/>
                <w:szCs w:val="20"/>
              </w:rPr>
            </w:pPr>
            <w:r>
              <w:rPr>
                <w:rFonts w:hint="eastAsia" w:ascii="宋体" w:hAnsi="宋体" w:cs="宋体"/>
                <w:color w:val="auto"/>
                <w:sz w:val="20"/>
                <w:szCs w:val="20"/>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质疑受理部门</w:t>
            </w:r>
          </w:p>
        </w:tc>
        <w:tc>
          <w:tcPr>
            <w:tcW w:w="7511" w:type="dxa"/>
            <w:gridSpan w:val="3"/>
            <w:noWrap w:val="0"/>
            <w:vAlign w:val="center"/>
          </w:tcPr>
          <w:p>
            <w:pPr>
              <w:spacing w:line="400" w:lineRule="exact"/>
              <w:ind w:firstLine="400"/>
              <w:jc w:val="left"/>
              <w:rPr>
                <w:rFonts w:ascii="宋体"/>
                <w:color w:val="auto"/>
                <w:sz w:val="20"/>
                <w:szCs w:val="20"/>
              </w:rPr>
            </w:pPr>
            <w:r>
              <w:rPr>
                <w:rFonts w:hint="eastAsia" w:ascii="宋体" w:hAnsi="宋体" w:cs="宋体"/>
                <w:color w:val="auto"/>
                <w:sz w:val="20"/>
                <w:szCs w:val="20"/>
              </w:rPr>
              <w:t>联系部门：建湖县教育局</w:t>
            </w:r>
            <w:r>
              <w:rPr>
                <w:rFonts w:ascii="宋体" w:hAnsi="宋体" w:cs="宋体"/>
                <w:color w:val="auto"/>
                <w:sz w:val="20"/>
                <w:szCs w:val="20"/>
              </w:rPr>
              <w:t>/</w:t>
            </w:r>
            <w:r>
              <w:rPr>
                <w:rFonts w:hint="eastAsia" w:ascii="宋体" w:hAnsi="宋体" w:cs="宋体"/>
                <w:color w:val="auto"/>
                <w:sz w:val="20"/>
                <w:szCs w:val="20"/>
              </w:rPr>
              <w:t>江苏辰通项目管理有限公司</w:t>
            </w:r>
          </w:p>
          <w:p>
            <w:pPr>
              <w:spacing w:line="400" w:lineRule="exact"/>
              <w:ind w:firstLine="400"/>
              <w:jc w:val="left"/>
              <w:rPr>
                <w:rFonts w:ascii="宋体"/>
                <w:color w:val="auto"/>
                <w:sz w:val="20"/>
                <w:szCs w:val="20"/>
              </w:rPr>
            </w:pPr>
            <w:r>
              <w:rPr>
                <w:rFonts w:hint="eastAsia" w:ascii="宋体" w:hAnsi="宋体" w:cs="宋体"/>
                <w:color w:val="auto"/>
                <w:sz w:val="20"/>
                <w:szCs w:val="20"/>
              </w:rPr>
              <w:t>联系电话：</w:t>
            </w:r>
            <w:r>
              <w:rPr>
                <w:rFonts w:ascii="宋体" w:hAnsi="宋体" w:cs="宋体"/>
                <w:color w:val="auto"/>
                <w:sz w:val="20"/>
                <w:szCs w:val="20"/>
              </w:rPr>
              <w:t>13914608678/13401754148</w:t>
            </w:r>
          </w:p>
          <w:p>
            <w:pPr>
              <w:spacing w:line="400" w:lineRule="exact"/>
              <w:ind w:firstLine="400"/>
              <w:jc w:val="left"/>
              <w:rPr>
                <w:rFonts w:ascii="宋体"/>
                <w:color w:val="auto"/>
                <w:sz w:val="20"/>
                <w:szCs w:val="20"/>
              </w:rPr>
            </w:pPr>
            <w:r>
              <w:rPr>
                <w:rFonts w:hint="eastAsia" w:ascii="宋体" w:hAnsi="宋体" w:cs="宋体"/>
                <w:color w:val="auto"/>
                <w:sz w:val="20"/>
                <w:szCs w:val="20"/>
              </w:rPr>
              <w:t>通讯地址：江苏省盐城市建湖县城双湖东路</w:t>
            </w:r>
            <w:r>
              <w:rPr>
                <w:rFonts w:ascii="宋体" w:hAnsi="宋体" w:cs="宋体"/>
                <w:color w:val="auto"/>
                <w:sz w:val="20"/>
                <w:szCs w:val="20"/>
              </w:rPr>
              <w:t>/</w:t>
            </w:r>
            <w:r>
              <w:rPr>
                <w:rFonts w:hint="eastAsia" w:ascii="宋体" w:hAnsi="宋体" w:cs="宋体"/>
                <w:color w:val="auto"/>
                <w:sz w:val="20"/>
                <w:szCs w:val="20"/>
              </w:rPr>
              <w:t>建湖县双湖壹品东门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投诉受理部门</w:t>
            </w:r>
          </w:p>
        </w:tc>
        <w:tc>
          <w:tcPr>
            <w:tcW w:w="7511" w:type="dxa"/>
            <w:gridSpan w:val="3"/>
            <w:noWrap w:val="0"/>
            <w:vAlign w:val="center"/>
          </w:tcPr>
          <w:p>
            <w:pPr>
              <w:spacing w:line="400" w:lineRule="exact"/>
              <w:ind w:firstLine="400"/>
              <w:jc w:val="left"/>
              <w:rPr>
                <w:rFonts w:ascii="宋体"/>
                <w:color w:val="auto"/>
                <w:sz w:val="20"/>
                <w:szCs w:val="20"/>
              </w:rPr>
            </w:pPr>
            <w:r>
              <w:rPr>
                <w:rFonts w:hint="eastAsia" w:ascii="宋体" w:hAnsi="宋体" w:cs="宋体"/>
                <w:color w:val="auto"/>
                <w:sz w:val="20"/>
                <w:szCs w:val="20"/>
              </w:rPr>
              <w:t>联系部门：建湖县财政局</w:t>
            </w:r>
          </w:p>
          <w:p>
            <w:pPr>
              <w:spacing w:line="400" w:lineRule="exact"/>
              <w:ind w:firstLine="400"/>
              <w:jc w:val="left"/>
              <w:rPr>
                <w:rFonts w:ascii="宋体"/>
                <w:color w:val="auto"/>
                <w:sz w:val="20"/>
                <w:szCs w:val="20"/>
              </w:rPr>
            </w:pPr>
            <w:r>
              <w:rPr>
                <w:rFonts w:hint="eastAsia" w:ascii="宋体" w:hAnsi="宋体" w:cs="宋体"/>
                <w:color w:val="auto"/>
                <w:sz w:val="20"/>
                <w:szCs w:val="20"/>
              </w:rPr>
              <w:t>通讯地址：建湖县双湖路建设大厦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702" w:type="dxa"/>
            <w:noWrap w:val="0"/>
            <w:vAlign w:val="center"/>
          </w:tcPr>
          <w:p>
            <w:pPr>
              <w:spacing w:line="280" w:lineRule="exact"/>
              <w:jc w:val="center"/>
              <w:rPr>
                <w:rFonts w:ascii="宋体"/>
                <w:color w:val="auto"/>
                <w:sz w:val="20"/>
                <w:szCs w:val="20"/>
              </w:rPr>
            </w:pPr>
            <w:r>
              <w:rPr>
                <w:rFonts w:hint="eastAsia" w:ascii="宋体" w:hAnsi="宋体" w:cs="宋体"/>
                <w:color w:val="auto"/>
                <w:sz w:val="20"/>
                <w:szCs w:val="20"/>
              </w:rPr>
              <w:t>其他要求</w:t>
            </w:r>
          </w:p>
        </w:tc>
        <w:tc>
          <w:tcPr>
            <w:tcW w:w="7511" w:type="dxa"/>
            <w:gridSpan w:val="3"/>
            <w:noWrap w:val="0"/>
            <w:vAlign w:val="center"/>
          </w:tcPr>
          <w:p>
            <w:pPr>
              <w:spacing w:line="320" w:lineRule="exact"/>
              <w:ind w:firstLine="400"/>
              <w:jc w:val="left"/>
              <w:rPr>
                <w:rFonts w:ascii="宋体"/>
                <w:color w:val="auto"/>
                <w:spacing w:val="-2"/>
                <w:sz w:val="20"/>
                <w:szCs w:val="20"/>
              </w:rPr>
            </w:pPr>
            <w:r>
              <w:rPr>
                <w:rFonts w:hint="eastAsia" w:ascii="宋体" w:hAnsi="宋体" w:cs="宋体"/>
                <w:color w:val="auto"/>
                <w:sz w:val="20"/>
                <w:szCs w:val="20"/>
              </w:rPr>
              <w:t>投标人如在投标过程中提供虚假材料谋取中标成交的或采取不正当手段诋毁、排挤其他供应商的</w:t>
            </w:r>
            <w:r>
              <w:rPr>
                <w:rFonts w:ascii="宋体" w:cs="宋体"/>
                <w:color w:val="auto"/>
                <w:sz w:val="20"/>
                <w:szCs w:val="20"/>
              </w:rPr>
              <w:t>,</w:t>
            </w:r>
            <w:r>
              <w:rPr>
                <w:rFonts w:hint="eastAsia" w:ascii="宋体" w:hAnsi="宋体" w:cs="宋体"/>
                <w:color w:val="auto"/>
                <w:sz w:val="20"/>
                <w:szCs w:val="20"/>
              </w:rPr>
              <w:t>列入不良行为记录名单。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noWrap w:val="0"/>
            <w:vAlign w:val="center"/>
          </w:tcPr>
          <w:p>
            <w:pPr>
              <w:spacing w:line="240" w:lineRule="exact"/>
              <w:jc w:val="center"/>
              <w:rPr>
                <w:rFonts w:ascii="宋体"/>
                <w:color w:val="auto"/>
                <w:sz w:val="20"/>
                <w:szCs w:val="20"/>
              </w:rPr>
            </w:pPr>
            <w:r>
              <w:rPr>
                <w:rFonts w:hint="eastAsia" w:ascii="宋体" w:hAnsi="宋体" w:cs="宋体"/>
                <w:color w:val="auto"/>
                <w:sz w:val="20"/>
                <w:szCs w:val="20"/>
              </w:rPr>
              <w:t>解释权</w:t>
            </w:r>
          </w:p>
        </w:tc>
        <w:tc>
          <w:tcPr>
            <w:tcW w:w="7511" w:type="dxa"/>
            <w:gridSpan w:val="3"/>
            <w:noWrap w:val="0"/>
            <w:vAlign w:val="center"/>
          </w:tcPr>
          <w:p>
            <w:pPr>
              <w:spacing w:line="400" w:lineRule="exact"/>
              <w:ind w:firstLine="400"/>
              <w:jc w:val="left"/>
              <w:rPr>
                <w:rFonts w:ascii="宋体"/>
                <w:color w:val="auto"/>
                <w:sz w:val="20"/>
                <w:szCs w:val="20"/>
              </w:rPr>
            </w:pPr>
            <w:r>
              <w:rPr>
                <w:rFonts w:hint="eastAsia" w:ascii="宋体" w:hAnsi="宋体" w:cs="宋体"/>
                <w:color w:val="auto"/>
                <w:sz w:val="20"/>
                <w:szCs w:val="20"/>
              </w:rPr>
              <w:t>本采购文件的最终解释权归采购单位所有。</w:t>
            </w:r>
          </w:p>
        </w:tc>
      </w:tr>
    </w:tbl>
    <w:p>
      <w:pPr>
        <w:spacing w:before="156" w:after="156" w:line="400" w:lineRule="exact"/>
        <w:ind w:firstLine="482"/>
        <w:jc w:val="center"/>
        <w:outlineLvl w:val="1"/>
        <w:rPr>
          <w:rFonts w:ascii="宋体"/>
          <w:b/>
          <w:bCs/>
          <w:color w:val="auto"/>
          <w:sz w:val="24"/>
          <w:szCs w:val="24"/>
        </w:rPr>
      </w:pPr>
      <w:bookmarkStart w:id="10" w:name="_Toc130206642"/>
      <w:r>
        <w:rPr>
          <w:rFonts w:hint="eastAsia" w:ascii="宋体" w:hAnsi="宋体" w:cs="宋体"/>
          <w:b/>
          <w:bCs/>
          <w:color w:val="auto"/>
          <w:sz w:val="24"/>
          <w:szCs w:val="24"/>
        </w:rPr>
        <w:t>二、总则</w:t>
      </w:r>
      <w:bookmarkEnd w:id="10"/>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适用范围</w:t>
      </w:r>
    </w:p>
    <w:p>
      <w:pPr>
        <w:widowControl/>
        <w:spacing w:line="480" w:lineRule="exact"/>
        <w:ind w:firstLine="480"/>
        <w:jc w:val="left"/>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本次项目仅适用于招标文件中所叙述项目的货物采购。</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定义</w:t>
      </w:r>
    </w:p>
    <w:p>
      <w:pPr>
        <w:widowControl/>
        <w:spacing w:line="480" w:lineRule="exact"/>
        <w:ind w:firstLine="480"/>
        <w:jc w:val="left"/>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“采购人”、“采购单位”系指本次采购项目的业主方；</w:t>
      </w:r>
    </w:p>
    <w:p>
      <w:pPr>
        <w:widowControl/>
        <w:spacing w:line="480" w:lineRule="exact"/>
        <w:ind w:firstLine="480"/>
        <w:jc w:val="left"/>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“采购代理机构”系指本次招标采购项目活动组织方；</w:t>
      </w:r>
    </w:p>
    <w:p>
      <w:pPr>
        <w:widowControl/>
        <w:spacing w:line="480" w:lineRule="exact"/>
        <w:ind w:firstLine="480"/>
        <w:jc w:val="left"/>
        <w:rPr>
          <w:rFonts w:ascii="宋体"/>
          <w:color w:val="auto"/>
          <w:sz w:val="24"/>
          <w:szCs w:val="24"/>
        </w:rPr>
      </w:pPr>
      <w:r>
        <w:rPr>
          <w:rFonts w:ascii="宋体" w:hAnsi="宋体" w:cs="宋体"/>
          <w:color w:val="auto"/>
          <w:sz w:val="24"/>
          <w:szCs w:val="24"/>
        </w:rPr>
        <w:t>2.3</w:t>
      </w:r>
      <w:r>
        <w:rPr>
          <w:rFonts w:hint="eastAsia" w:ascii="宋体" w:hAnsi="宋体" w:cs="宋体"/>
          <w:color w:val="auto"/>
          <w:sz w:val="24"/>
          <w:szCs w:val="24"/>
        </w:rPr>
        <w:t>“投标人”系指获取了本招标文件，且已经提交或者准备提交本次投标文件的制造商或供货商；</w:t>
      </w:r>
    </w:p>
    <w:p>
      <w:pPr>
        <w:widowControl/>
        <w:spacing w:line="480" w:lineRule="exact"/>
        <w:ind w:firstLine="480"/>
        <w:jc w:val="left"/>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“投标文件有效期”系指本次采购项目投标截止之日起至合同签订之日止的期限；</w:t>
      </w:r>
    </w:p>
    <w:p>
      <w:pPr>
        <w:widowControl/>
        <w:spacing w:line="480" w:lineRule="exact"/>
        <w:ind w:firstLine="480"/>
        <w:jc w:val="left"/>
        <w:rPr>
          <w:rFonts w:ascii="宋体"/>
          <w:color w:val="auto"/>
          <w:sz w:val="24"/>
          <w:szCs w:val="24"/>
        </w:rPr>
      </w:pPr>
      <w:r>
        <w:rPr>
          <w:rFonts w:ascii="宋体" w:hAnsi="宋体" w:cs="宋体"/>
          <w:color w:val="auto"/>
          <w:sz w:val="24"/>
          <w:szCs w:val="24"/>
        </w:rPr>
        <w:t>2.5</w:t>
      </w:r>
      <w:r>
        <w:rPr>
          <w:rFonts w:hint="eastAsia" w:ascii="宋体" w:hAnsi="宋体" w:cs="宋体"/>
          <w:color w:val="auto"/>
          <w:sz w:val="24"/>
          <w:szCs w:val="24"/>
        </w:rPr>
        <w:t>不可抗力：不可预见、不能避免并且不能克服的客观情况。</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申请人的资格要求：详见招标公告。</w:t>
      </w:r>
    </w:p>
    <w:p>
      <w:pPr>
        <w:spacing w:before="156" w:after="156" w:line="400" w:lineRule="exact"/>
        <w:ind w:left="238" w:firstLine="482"/>
        <w:jc w:val="center"/>
        <w:outlineLvl w:val="1"/>
        <w:rPr>
          <w:rFonts w:ascii="宋体"/>
          <w:b/>
          <w:bCs/>
          <w:color w:val="auto"/>
          <w:sz w:val="24"/>
          <w:szCs w:val="24"/>
        </w:rPr>
      </w:pPr>
      <w:bookmarkStart w:id="11" w:name="_Toc130206643"/>
      <w:r>
        <w:rPr>
          <w:rFonts w:hint="eastAsia" w:ascii="宋体" w:hAnsi="宋体" w:cs="宋体"/>
          <w:b/>
          <w:bCs/>
          <w:color w:val="auto"/>
          <w:sz w:val="24"/>
          <w:szCs w:val="24"/>
        </w:rPr>
        <w:t>三、招标文件</w:t>
      </w:r>
      <w:bookmarkEnd w:id="11"/>
    </w:p>
    <w:p>
      <w:pPr>
        <w:widowControl/>
        <w:spacing w:line="480" w:lineRule="exact"/>
        <w:ind w:firstLine="480"/>
        <w:jc w:val="left"/>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招标文件的构成</w:t>
      </w:r>
    </w:p>
    <w:p>
      <w:pPr>
        <w:widowControl/>
        <w:spacing w:line="480" w:lineRule="exact"/>
        <w:ind w:firstLine="480"/>
        <w:jc w:val="left"/>
        <w:rPr>
          <w:rFonts w:ascii="宋体"/>
          <w:color w:val="auto"/>
          <w:sz w:val="24"/>
          <w:szCs w:val="24"/>
        </w:rPr>
      </w:pPr>
      <w:r>
        <w:rPr>
          <w:rFonts w:ascii="宋体" w:hAnsi="宋体" w:cs="宋体"/>
          <w:color w:val="auto"/>
          <w:sz w:val="24"/>
          <w:szCs w:val="24"/>
        </w:rPr>
        <w:t>4.1</w:t>
      </w:r>
      <w:r>
        <w:rPr>
          <w:rFonts w:hint="eastAsia" w:ascii="宋体" w:hAnsi="宋体" w:cs="宋体"/>
          <w:color w:val="auto"/>
          <w:sz w:val="24"/>
          <w:szCs w:val="24"/>
        </w:rPr>
        <w:t>招标文件用以阐明招标项目所需的资质、技术、服务及报价等要求、招标投标程序、有关规定和注意事项以及合同主要条款等。本招标文件包括以下内容：</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4.1.1 </w:t>
      </w:r>
      <w:r>
        <w:rPr>
          <w:rFonts w:hint="eastAsia" w:ascii="宋体" w:hAnsi="宋体" w:cs="宋体"/>
          <w:color w:val="auto"/>
          <w:sz w:val="24"/>
          <w:szCs w:val="24"/>
        </w:rPr>
        <w:t>招标公告；</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4.1.2 </w:t>
      </w:r>
      <w:r>
        <w:rPr>
          <w:rFonts w:hint="eastAsia" w:ascii="宋体" w:hAnsi="宋体" w:cs="宋体"/>
          <w:color w:val="auto"/>
          <w:sz w:val="24"/>
          <w:szCs w:val="24"/>
        </w:rPr>
        <w:t>投标人须知；</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4.1.3 </w:t>
      </w:r>
      <w:r>
        <w:rPr>
          <w:rFonts w:hint="eastAsia" w:ascii="宋体" w:hAnsi="宋体" w:cs="宋体"/>
          <w:color w:val="auto"/>
          <w:sz w:val="24"/>
          <w:szCs w:val="24"/>
        </w:rPr>
        <w:t>招标内容及要求；</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4.1.4 </w:t>
      </w:r>
      <w:r>
        <w:rPr>
          <w:rFonts w:hint="eastAsia" w:ascii="宋体" w:hAnsi="宋体" w:cs="宋体"/>
          <w:color w:val="auto"/>
          <w:sz w:val="24"/>
          <w:szCs w:val="24"/>
        </w:rPr>
        <w:t>评标办法及评分标准；</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4.1.5 </w:t>
      </w:r>
      <w:r>
        <w:rPr>
          <w:rFonts w:hint="eastAsia" w:ascii="宋体" w:hAnsi="宋体" w:cs="宋体"/>
          <w:color w:val="auto"/>
          <w:sz w:val="24"/>
          <w:szCs w:val="24"/>
        </w:rPr>
        <w:t>合同主要条款；</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4.1.6 </w:t>
      </w:r>
      <w:r>
        <w:rPr>
          <w:rFonts w:hint="eastAsia" w:ascii="宋体" w:hAnsi="宋体" w:cs="宋体"/>
          <w:color w:val="auto"/>
          <w:sz w:val="24"/>
          <w:szCs w:val="24"/>
        </w:rPr>
        <w:t>投标文件格式。</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4.2 </w:t>
      </w:r>
      <w:r>
        <w:rPr>
          <w:rFonts w:hint="eastAsia" w:ascii="宋体" w:hAnsi="宋体" w:cs="宋体"/>
          <w:color w:val="auto"/>
          <w:sz w:val="24"/>
          <w:szCs w:val="24"/>
        </w:rPr>
        <w:t>投标人应认真阅读和充分理解招标文件中所有的事项、格式条款和规范要求。投标人领取招标文件并参加投标即视同认可招标文件内所有内容。投标人没有对招标文件全面做出实质性响应是投标人的风险。没有按照招标文件要求作出实质性响应的投标文件将被拒绝。</w:t>
      </w:r>
    </w:p>
    <w:p>
      <w:pPr>
        <w:widowControl/>
        <w:spacing w:line="480" w:lineRule="exact"/>
        <w:ind w:firstLine="480"/>
        <w:jc w:val="lef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招标文件的澄清、修改及补充</w:t>
      </w:r>
    </w:p>
    <w:p>
      <w:pPr>
        <w:widowControl/>
        <w:spacing w:line="480" w:lineRule="exact"/>
        <w:ind w:firstLine="480"/>
        <w:jc w:val="left"/>
        <w:rPr>
          <w:rFonts w:ascii="宋体"/>
          <w:color w:val="auto"/>
          <w:sz w:val="24"/>
          <w:szCs w:val="24"/>
        </w:rPr>
      </w:pPr>
      <w:r>
        <w:rPr>
          <w:rFonts w:ascii="宋体" w:hAnsi="宋体" w:cs="宋体"/>
          <w:color w:val="auto"/>
          <w:sz w:val="24"/>
          <w:szCs w:val="24"/>
        </w:rPr>
        <w:t>5.1</w:t>
      </w:r>
      <w:r>
        <w:rPr>
          <w:rFonts w:hint="eastAsia" w:ascii="宋体" w:hAnsi="宋体" w:cs="宋体"/>
          <w:color w:val="auto"/>
          <w:sz w:val="24"/>
          <w:szCs w:val="24"/>
        </w:rPr>
        <w:t>投标人在收到招标文件后，如有疑问需要澄清，应以规定的时间和方式（</w:t>
      </w:r>
      <w:r>
        <w:rPr>
          <w:rFonts w:ascii="宋体" w:hAnsi="宋体" w:cs="宋体"/>
          <w:color w:val="auto"/>
          <w:sz w:val="24"/>
          <w:szCs w:val="24"/>
          <w:u w:val="single"/>
        </w:rPr>
        <w:t>2024</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04</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single"/>
        </w:rPr>
        <w:t>日</w:t>
      </w:r>
      <w:r>
        <w:rPr>
          <w:rFonts w:ascii="宋体" w:hAnsi="宋体" w:cs="宋体"/>
          <w:color w:val="auto"/>
          <w:sz w:val="24"/>
          <w:szCs w:val="24"/>
          <w:u w:val="single"/>
        </w:rPr>
        <w:t>17:00</w:t>
      </w:r>
      <w:r>
        <w:rPr>
          <w:rFonts w:hint="eastAsia" w:ascii="宋体" w:hAnsi="宋体" w:cs="宋体"/>
          <w:color w:val="auto"/>
          <w:sz w:val="24"/>
          <w:szCs w:val="24"/>
          <w:u w:val="single"/>
        </w:rPr>
        <w:t>前</w:t>
      </w:r>
      <w:r>
        <w:rPr>
          <w:rFonts w:hint="eastAsia" w:ascii="宋体" w:hAnsi="宋体" w:cs="宋体"/>
          <w:color w:val="auto"/>
          <w:sz w:val="24"/>
          <w:szCs w:val="24"/>
        </w:rPr>
        <w:t>）向采购人或代理机构提出，如在规定期限内未递交疑问或未按规定提交投标疑问的，则视为该投标人无疑问；</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5.2 </w:t>
      </w:r>
      <w:r>
        <w:rPr>
          <w:rFonts w:hint="eastAsia" w:ascii="宋体" w:hAnsi="宋体" w:cs="宋体"/>
          <w:color w:val="auto"/>
          <w:sz w:val="24"/>
          <w:szCs w:val="24"/>
        </w:rPr>
        <w:t>在投标截止日期前，采购单</w:t>
      </w:r>
      <w:bookmarkStart w:id="67" w:name="_GoBack"/>
      <w:bookmarkEnd w:id="67"/>
      <w:r>
        <w:rPr>
          <w:rFonts w:hint="eastAsia" w:ascii="宋体" w:hAnsi="宋体" w:cs="宋体"/>
          <w:color w:val="auto"/>
          <w:sz w:val="24"/>
          <w:szCs w:val="24"/>
        </w:rPr>
        <w:t>位对招标文件进行澄清或者修改的，通过“苏采云”系统及盐城市政府采购网等相关网站发布澄清公告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w:t>
      </w:r>
      <w:r>
        <w:rPr>
          <w:rFonts w:ascii="宋体" w:hAnsi="宋体" w:cs="宋体"/>
          <w:color w:val="auto"/>
          <w:sz w:val="24"/>
          <w:szCs w:val="24"/>
        </w:rPr>
        <w:t>.kedt</w:t>
      </w:r>
      <w:r>
        <w:rPr>
          <w:rFonts w:hint="eastAsia" w:ascii="宋体" w:hAnsi="宋体" w:cs="宋体"/>
          <w:color w:val="auto"/>
          <w:sz w:val="24"/>
          <w:szCs w:val="24"/>
        </w:rPr>
        <w:t>”），离线编制投标文件，否则将自行承担相应的风险；</w:t>
      </w:r>
    </w:p>
    <w:p>
      <w:pPr>
        <w:widowControl/>
        <w:spacing w:line="480" w:lineRule="exact"/>
        <w:ind w:firstLine="480"/>
        <w:jc w:val="left"/>
        <w:rPr>
          <w:rFonts w:ascii="宋体"/>
          <w:color w:val="auto"/>
          <w:sz w:val="24"/>
          <w:szCs w:val="24"/>
        </w:rPr>
      </w:pPr>
      <w:r>
        <w:rPr>
          <w:rFonts w:ascii="宋体" w:hAnsi="宋体" w:cs="宋体"/>
          <w:color w:val="auto"/>
          <w:sz w:val="24"/>
          <w:szCs w:val="24"/>
        </w:rPr>
        <w:t>5.3</w:t>
      </w:r>
      <w:r>
        <w:rPr>
          <w:rFonts w:hint="eastAsia" w:ascii="宋体" w:hAnsi="宋体" w:cs="宋体"/>
          <w:color w:val="auto"/>
          <w:sz w:val="24"/>
          <w:szCs w:val="24"/>
        </w:rPr>
        <w:t>标书以外的内容，一律拒绝答复；</w:t>
      </w:r>
    </w:p>
    <w:p>
      <w:pPr>
        <w:widowControl/>
        <w:spacing w:line="480" w:lineRule="exact"/>
        <w:ind w:firstLine="480"/>
        <w:jc w:val="left"/>
        <w:rPr>
          <w:rFonts w:ascii="宋体"/>
          <w:color w:val="auto"/>
          <w:sz w:val="24"/>
          <w:szCs w:val="24"/>
        </w:rPr>
      </w:pPr>
      <w:r>
        <w:rPr>
          <w:rFonts w:ascii="宋体" w:hAnsi="宋体" w:cs="宋体"/>
          <w:color w:val="auto"/>
          <w:sz w:val="24"/>
          <w:szCs w:val="24"/>
        </w:rPr>
        <w:t>5.4</w:t>
      </w:r>
      <w:r>
        <w:rPr>
          <w:rFonts w:hint="eastAsia" w:ascii="宋体" w:hAnsi="宋体" w:cs="宋体"/>
          <w:color w:val="auto"/>
          <w:sz w:val="24"/>
          <w:szCs w:val="24"/>
        </w:rPr>
        <w:t>投标人对采购人提供的采购文件所做出的推论、解释和结论，采购人概不负责。投标人由于对招标文件的任何推论和误解以及采购人对有关问题的口头解释所造成的后果，均由投标人自负；</w:t>
      </w:r>
    </w:p>
    <w:p>
      <w:pPr>
        <w:widowControl/>
        <w:spacing w:line="480" w:lineRule="exact"/>
        <w:ind w:firstLine="480"/>
        <w:jc w:val="left"/>
        <w:rPr>
          <w:rFonts w:ascii="宋体"/>
          <w:color w:val="auto"/>
          <w:sz w:val="24"/>
          <w:szCs w:val="24"/>
        </w:rPr>
      </w:pPr>
      <w:r>
        <w:rPr>
          <w:rFonts w:ascii="宋体" w:hAnsi="宋体" w:cs="宋体"/>
          <w:color w:val="auto"/>
          <w:sz w:val="24"/>
          <w:szCs w:val="24"/>
        </w:rPr>
        <w:t>5.5</w:t>
      </w:r>
      <w:r>
        <w:rPr>
          <w:rFonts w:hint="eastAsia" w:ascii="宋体" w:hAnsi="宋体" w:cs="宋体"/>
          <w:color w:val="auto"/>
          <w:sz w:val="24"/>
          <w:szCs w:val="24"/>
        </w:rPr>
        <w:t>本采购文件的最终解释权归采购单位所有。</w:t>
      </w:r>
    </w:p>
    <w:p>
      <w:pPr>
        <w:spacing w:before="156" w:after="156" w:line="400" w:lineRule="exact"/>
        <w:ind w:left="238" w:firstLine="482"/>
        <w:jc w:val="center"/>
        <w:outlineLvl w:val="1"/>
        <w:rPr>
          <w:rFonts w:ascii="宋体"/>
          <w:b/>
          <w:bCs/>
          <w:color w:val="auto"/>
          <w:sz w:val="24"/>
          <w:szCs w:val="24"/>
        </w:rPr>
      </w:pPr>
      <w:bookmarkStart w:id="12" w:name="_Toc130206644"/>
      <w:r>
        <w:rPr>
          <w:rFonts w:hint="eastAsia" w:ascii="宋体" w:hAnsi="宋体" w:cs="宋体"/>
          <w:b/>
          <w:bCs/>
          <w:color w:val="auto"/>
          <w:sz w:val="24"/>
          <w:szCs w:val="24"/>
        </w:rPr>
        <w:t>四、投标文件</w:t>
      </w:r>
      <w:bookmarkEnd w:id="12"/>
    </w:p>
    <w:p>
      <w:pPr>
        <w:widowControl/>
        <w:spacing w:line="480" w:lineRule="exact"/>
        <w:ind w:firstLine="480"/>
        <w:jc w:val="left"/>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投标文件的编制</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6.1 </w:t>
      </w:r>
      <w:r>
        <w:rPr>
          <w:rFonts w:hint="eastAsia" w:ascii="宋体" w:hAnsi="宋体" w:cs="宋体"/>
          <w:color w:val="auto"/>
          <w:sz w:val="24"/>
          <w:szCs w:val="24"/>
        </w:rPr>
        <w:t>要求</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6.1.1 </w:t>
      </w:r>
      <w:r>
        <w:rPr>
          <w:rFonts w:hint="eastAsia" w:ascii="宋体" w:hAnsi="宋体" w:cs="宋体"/>
          <w:color w:val="auto"/>
          <w:sz w:val="24"/>
          <w:szCs w:val="24"/>
        </w:rPr>
        <w:t>投标人应仔细阅读招标文件的所有内容，按招标文件的要求提供投标文件，并保证所提供的全部资料的真实性，以使其投标对招标文件作出实质性响应，否则，其投标可能被拒绝；</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6.1.2 </w:t>
      </w:r>
      <w:r>
        <w:rPr>
          <w:rFonts w:hint="eastAsia" w:ascii="宋体" w:hAnsi="宋体" w:cs="宋体"/>
          <w:color w:val="auto"/>
          <w:sz w:val="24"/>
          <w:szCs w:val="24"/>
        </w:rPr>
        <w:t>无论投标过程中的做法和结果如何，投标人自行承担所有与参加投标有关的全部费用。</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6.2 </w:t>
      </w:r>
      <w:r>
        <w:rPr>
          <w:rFonts w:hint="eastAsia" w:ascii="宋体" w:hAnsi="宋体" w:cs="宋体"/>
          <w:color w:val="auto"/>
          <w:sz w:val="24"/>
          <w:szCs w:val="24"/>
        </w:rPr>
        <w:t>投标语言及计量单位</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6.2.1 </w:t>
      </w:r>
      <w:r>
        <w:rPr>
          <w:rFonts w:hint="eastAsia" w:ascii="宋体" w:hAnsi="宋体" w:cs="宋体"/>
          <w:color w:val="auto"/>
          <w:sz w:val="24"/>
          <w:szCs w:val="24"/>
        </w:rPr>
        <w:t>投标文件以及投标人与采购单位就有关投标事宜的所有来往函电均应使用简体中文书写；</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6.2.2 </w:t>
      </w:r>
      <w:r>
        <w:rPr>
          <w:rFonts w:hint="eastAsia" w:ascii="宋体" w:hAnsi="宋体" w:cs="宋体"/>
          <w:color w:val="auto"/>
          <w:sz w:val="24"/>
          <w:szCs w:val="24"/>
        </w:rPr>
        <w:t>关于投标计量单位，招标文件已有明确规定的，使用招标文件规定的计量单位；招标文件没有规定的，应采用中华人民共和国法定计量单位；</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6.2.3 </w:t>
      </w:r>
      <w:r>
        <w:rPr>
          <w:rFonts w:hint="eastAsia" w:ascii="宋体" w:hAnsi="宋体" w:cs="宋体"/>
          <w:color w:val="auto"/>
          <w:sz w:val="24"/>
          <w:szCs w:val="24"/>
        </w:rPr>
        <w:t>原版为外文的证书类文件，但应当提供中文翻译文件并加盖投标单位公章。必要时评标委员会可以要求投标人提供附有公证书的中文翻译文件或者与原版文件签章相一致的中文翻译文件，否则，投标人的投标文件将作无效投标处理；</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6.2.4 </w:t>
      </w:r>
      <w:r>
        <w:rPr>
          <w:rFonts w:hint="eastAsia" w:ascii="宋体" w:hAnsi="宋体" w:cs="宋体"/>
          <w:color w:val="auto"/>
          <w:sz w:val="24"/>
          <w:szCs w:val="24"/>
        </w:rPr>
        <w:t>翻译的中文文件与外文文件如果出现差异和矛盾时，以中文为准。但不能故意错误翻译，否则，投标人的投标文件将作为无效投标处理。</w:t>
      </w:r>
    </w:p>
    <w:p>
      <w:pPr>
        <w:widowControl/>
        <w:spacing w:line="480" w:lineRule="exact"/>
        <w:ind w:firstLine="480"/>
        <w:jc w:val="left"/>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电子投标文件其他要求</w:t>
      </w:r>
    </w:p>
    <w:p>
      <w:pPr>
        <w:widowControl/>
        <w:spacing w:line="480" w:lineRule="exact"/>
        <w:ind w:firstLine="464"/>
        <w:jc w:val="left"/>
        <w:rPr>
          <w:rFonts w:ascii="宋体"/>
          <w:color w:val="auto"/>
          <w:sz w:val="24"/>
          <w:szCs w:val="24"/>
        </w:rPr>
      </w:pPr>
      <w:r>
        <w:rPr>
          <w:rFonts w:ascii="宋体" w:hAnsi="宋体" w:cs="宋体"/>
          <w:color w:val="auto"/>
          <w:spacing w:val="-4"/>
          <w:sz w:val="24"/>
          <w:szCs w:val="24"/>
        </w:rPr>
        <w:t>6.3.1</w:t>
      </w:r>
      <w:r>
        <w:rPr>
          <w:rFonts w:hint="eastAsia" w:ascii="宋体" w:hAnsi="宋体" w:cs="宋体"/>
          <w:color w:val="auto"/>
          <w:spacing w:val="-4"/>
          <w:sz w:val="24"/>
          <w:szCs w:val="24"/>
        </w:rPr>
        <w:t>电子招标投标交易平台（即“苏采云”系统）相关要求是本招标文件的组成部分</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6.3.2</w:t>
      </w:r>
      <w:r>
        <w:rPr>
          <w:rFonts w:hint="eastAsia" w:ascii="宋体" w:hAnsi="宋体" w:cs="宋体"/>
          <w:color w:val="auto"/>
          <w:sz w:val="24"/>
          <w:szCs w:val="24"/>
        </w:rPr>
        <w:t>投标人应对</w:t>
      </w:r>
      <w:r>
        <w:rPr>
          <w:rFonts w:ascii="宋体" w:hAnsi="宋体" w:cs="宋体"/>
          <w:color w:val="auto"/>
          <w:sz w:val="24"/>
          <w:szCs w:val="24"/>
        </w:rPr>
        <w:t>CA</w:t>
      </w:r>
      <w:r>
        <w:rPr>
          <w:rFonts w:hint="eastAsia" w:ascii="宋体" w:hAnsi="宋体" w:cs="宋体"/>
          <w:color w:val="auto"/>
          <w:sz w:val="24"/>
          <w:szCs w:val="24"/>
        </w:rPr>
        <w:t>证书妥善保管，如被他人盗用投标，因此带来的结果均由投标人自行承担；</w:t>
      </w:r>
    </w:p>
    <w:p>
      <w:pPr>
        <w:widowControl/>
        <w:spacing w:line="480" w:lineRule="exact"/>
        <w:ind w:firstLine="480"/>
        <w:jc w:val="left"/>
        <w:rPr>
          <w:rFonts w:ascii="宋体"/>
          <w:color w:val="auto"/>
          <w:sz w:val="24"/>
          <w:szCs w:val="24"/>
        </w:rPr>
      </w:pPr>
      <w:r>
        <w:rPr>
          <w:rFonts w:ascii="宋体" w:hAnsi="宋体" w:cs="宋体"/>
          <w:color w:val="auto"/>
          <w:sz w:val="24"/>
          <w:szCs w:val="24"/>
        </w:rPr>
        <w:t>6.3.3</w:t>
      </w:r>
      <w:r>
        <w:rPr>
          <w:rFonts w:hint="eastAsia" w:ascii="宋体" w:hAnsi="宋体" w:cs="宋体"/>
          <w:color w:val="auto"/>
          <w:sz w:val="24"/>
          <w:szCs w:val="24"/>
        </w:rPr>
        <w:t>投标人应当对招标文件提出的实质性要求和条件作出实质性响应，并在电子投标系统逐条应答；</w:t>
      </w:r>
    </w:p>
    <w:p>
      <w:pPr>
        <w:widowControl/>
        <w:spacing w:line="480" w:lineRule="exact"/>
        <w:ind w:firstLine="480"/>
        <w:jc w:val="left"/>
        <w:rPr>
          <w:rFonts w:ascii="宋体"/>
          <w:color w:val="auto"/>
          <w:sz w:val="24"/>
          <w:szCs w:val="24"/>
        </w:rPr>
      </w:pPr>
      <w:r>
        <w:rPr>
          <w:rFonts w:ascii="宋体" w:hAnsi="宋体" w:cs="宋体"/>
          <w:color w:val="auto"/>
          <w:sz w:val="24"/>
          <w:szCs w:val="24"/>
        </w:rPr>
        <w:t>6.3.4</w:t>
      </w:r>
      <w:r>
        <w:rPr>
          <w:rFonts w:hint="eastAsia" w:ascii="宋体" w:hAnsi="宋体" w:cs="宋体"/>
          <w:color w:val="auto"/>
          <w:sz w:val="24"/>
          <w:szCs w:val="24"/>
        </w:rPr>
        <w:t>投标人应对要求提供的资格证明文件（如资质证书、资格证书）、技术资料（如白皮书、彩页、手册、检测报告等）扫描上传至投标系统。</w:t>
      </w:r>
    </w:p>
    <w:p>
      <w:pPr>
        <w:widowControl/>
        <w:spacing w:line="480" w:lineRule="exact"/>
        <w:ind w:firstLine="480"/>
        <w:jc w:val="left"/>
        <w:rPr>
          <w:rFonts w:ascii="宋体"/>
          <w:color w:val="auto"/>
          <w:sz w:val="24"/>
          <w:szCs w:val="24"/>
        </w:rPr>
      </w:pPr>
      <w:r>
        <w:rPr>
          <w:rFonts w:ascii="宋体" w:hAnsi="宋体" w:cs="宋体"/>
          <w:color w:val="auto"/>
          <w:sz w:val="24"/>
          <w:szCs w:val="24"/>
        </w:rPr>
        <w:t>6.4</w:t>
      </w:r>
      <w:r>
        <w:rPr>
          <w:rFonts w:hint="eastAsia" w:ascii="宋体" w:hAnsi="宋体" w:cs="宋体"/>
          <w:color w:val="auto"/>
          <w:sz w:val="24"/>
          <w:szCs w:val="24"/>
        </w:rPr>
        <w:t>投标人应当在招标文件要求提交投标文件的截止时间前，将投标文件提交至“苏采云”系统，逾期提交的投标文件，“苏采云”系统将自动拒收。各投标人应在规定时间内凭</w:t>
      </w:r>
      <w:r>
        <w:rPr>
          <w:rFonts w:ascii="宋体" w:hAnsi="宋体" w:cs="宋体"/>
          <w:color w:val="auto"/>
          <w:sz w:val="24"/>
          <w:szCs w:val="24"/>
        </w:rPr>
        <w:t>CA</w:t>
      </w:r>
      <w:r>
        <w:rPr>
          <w:rFonts w:hint="eastAsia" w:ascii="宋体" w:hAnsi="宋体" w:cs="宋体"/>
          <w:color w:val="auto"/>
          <w:sz w:val="24"/>
          <w:szCs w:val="24"/>
        </w:rPr>
        <w:t>证书进行网上解密。</w:t>
      </w:r>
    </w:p>
    <w:p>
      <w:pPr>
        <w:widowControl/>
        <w:spacing w:line="480" w:lineRule="exact"/>
        <w:ind w:firstLine="480"/>
        <w:jc w:val="left"/>
        <w:rPr>
          <w:rFonts w:ascii="宋体"/>
          <w:color w:val="auto"/>
          <w:sz w:val="24"/>
          <w:szCs w:val="24"/>
        </w:rPr>
      </w:pPr>
      <w:r>
        <w:rPr>
          <w:rFonts w:ascii="宋体" w:hAnsi="宋体" w:cs="宋体"/>
          <w:color w:val="auto"/>
          <w:sz w:val="24"/>
          <w:szCs w:val="24"/>
        </w:rPr>
        <w:t>6.5</w:t>
      </w:r>
      <w:r>
        <w:rPr>
          <w:rFonts w:hint="eastAsia" w:ascii="宋体" w:hAnsi="宋体" w:cs="宋体"/>
          <w:color w:val="auto"/>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line="480" w:lineRule="exact"/>
        <w:ind w:firstLine="480"/>
        <w:jc w:val="left"/>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为贯彻落实苏财购</w:t>
      </w:r>
      <w:r>
        <w:rPr>
          <w:rFonts w:ascii="宋体" w:hAnsi="宋体" w:cs="宋体"/>
          <w:color w:val="auto"/>
          <w:sz w:val="24"/>
          <w:szCs w:val="24"/>
        </w:rPr>
        <w:t>[2020]52</w:t>
      </w:r>
      <w:r>
        <w:rPr>
          <w:rFonts w:hint="eastAsia" w:ascii="宋体" w:hAnsi="宋体" w:cs="宋体"/>
          <w:color w:val="auto"/>
          <w:sz w:val="24"/>
          <w:szCs w:val="24"/>
        </w:rPr>
        <w:t>号文件精神，该项目投标人可免交投标保证金。</w:t>
      </w:r>
    </w:p>
    <w:p>
      <w:pPr>
        <w:widowControl/>
        <w:spacing w:line="480" w:lineRule="exact"/>
        <w:ind w:firstLine="480"/>
        <w:jc w:val="left"/>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投标报价</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8.1 </w:t>
      </w:r>
      <w:r>
        <w:rPr>
          <w:rFonts w:hint="eastAsia" w:ascii="宋体" w:hAnsi="宋体" w:cs="宋体"/>
          <w:color w:val="auto"/>
          <w:sz w:val="24"/>
          <w:szCs w:val="24"/>
        </w:rPr>
        <w:t>投标方应在招标文件所附的投标报价表上写明投标货物的单价和投标总价，如单价与总价有出入，以单价为准。投标方对每种货物只允许有一个报价，招标方不接受有任何选择的报价。除合同另有约定，投标人投标报价表上所标明的价格均为履约的固定价格，不得以任何理由予以变更。</w:t>
      </w:r>
    </w:p>
    <w:p>
      <w:pPr>
        <w:widowControl/>
        <w:spacing w:line="480" w:lineRule="exact"/>
        <w:ind w:firstLine="480"/>
        <w:jc w:val="left"/>
        <w:rPr>
          <w:rFonts w:ascii="宋体"/>
          <w:b/>
          <w:bCs/>
          <w:color w:val="auto"/>
          <w:sz w:val="24"/>
          <w:szCs w:val="24"/>
        </w:rPr>
      </w:pPr>
      <w:r>
        <w:rPr>
          <w:rFonts w:ascii="宋体" w:hAnsi="宋体" w:cs="宋体"/>
          <w:color w:val="auto"/>
          <w:sz w:val="24"/>
          <w:szCs w:val="24"/>
        </w:rPr>
        <w:t xml:space="preserve">8.2 </w:t>
      </w:r>
      <w:r>
        <w:rPr>
          <w:rFonts w:hint="eastAsia" w:ascii="宋体" w:hAnsi="宋体" w:cs="宋体"/>
          <w:color w:val="auto"/>
          <w:sz w:val="24"/>
          <w:szCs w:val="24"/>
        </w:rPr>
        <w:t>本项目采购预算价为</w:t>
      </w:r>
      <w:r>
        <w:rPr>
          <w:rFonts w:ascii="宋体" w:hAnsi="宋体" w:cs="宋体"/>
          <w:color w:val="auto"/>
          <w:sz w:val="24"/>
          <w:szCs w:val="24"/>
        </w:rPr>
        <w:t>240</w:t>
      </w:r>
      <w:r>
        <w:rPr>
          <w:rFonts w:hint="eastAsia" w:ascii="宋体" w:hAnsi="宋体" w:cs="宋体"/>
          <w:color w:val="auto"/>
          <w:sz w:val="24"/>
          <w:szCs w:val="24"/>
        </w:rPr>
        <w:t>万元，高于该预算价的作无效标论处</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8.3 </w:t>
      </w:r>
      <w:r>
        <w:rPr>
          <w:rFonts w:hint="eastAsia" w:ascii="宋体" w:hAnsi="宋体" w:cs="宋体"/>
          <w:color w:val="auto"/>
          <w:sz w:val="24"/>
          <w:szCs w:val="24"/>
        </w:rPr>
        <w:t>投标报价</w:t>
      </w:r>
    </w:p>
    <w:p>
      <w:pPr>
        <w:widowControl/>
        <w:spacing w:line="480" w:lineRule="exact"/>
        <w:ind w:firstLine="480"/>
        <w:jc w:val="left"/>
        <w:rPr>
          <w:rFonts w:ascii="宋体"/>
          <w:color w:val="auto"/>
          <w:sz w:val="24"/>
          <w:szCs w:val="24"/>
        </w:rPr>
      </w:pPr>
      <w:r>
        <w:rPr>
          <w:rFonts w:ascii="宋体" w:hAnsi="宋体" w:cs="宋体"/>
          <w:color w:val="auto"/>
          <w:sz w:val="24"/>
          <w:szCs w:val="24"/>
        </w:rPr>
        <w:t>8.3.1</w:t>
      </w:r>
      <w:r>
        <w:rPr>
          <w:rFonts w:hint="eastAsia" w:ascii="宋体" w:hAnsi="宋体" w:cs="宋体"/>
          <w:color w:val="auto"/>
          <w:sz w:val="24"/>
          <w:szCs w:val="24"/>
        </w:rPr>
        <w:t>投标报价应是招标文件所确定招标范围内全部工作内容的价格体现，投标人的报价应包括所投产品（含相关附配件、软件）费用、包装费、运输费、装卸费、安装调试费、测试费、培训费、验收费、质量保修期内维保费、售后服务费、投标费用、税金、各类风险费、管理费、利润、招标代理费及其他有关的为完成本项目发生的所有费用，对投标人认为没有考虑到的费用项目采购人将不予支付，并认为此项费用已包含在投标报价中；</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8.3.2 </w:t>
      </w:r>
      <w:r>
        <w:rPr>
          <w:rFonts w:hint="eastAsia" w:ascii="宋体" w:hAnsi="宋体" w:cs="宋体"/>
          <w:color w:val="auto"/>
          <w:sz w:val="24"/>
          <w:szCs w:val="24"/>
        </w:rPr>
        <w:t>投标承诺书、投标价格表的报价一律用人民币（单位：元）填报。</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8.4 </w:t>
      </w:r>
      <w:r>
        <w:rPr>
          <w:rFonts w:hint="eastAsia" w:ascii="宋体" w:hAnsi="宋体" w:cs="宋体"/>
          <w:color w:val="auto"/>
          <w:sz w:val="24"/>
          <w:szCs w:val="24"/>
        </w:rPr>
        <w:t>招标代理服务费：如中标人响应成交，领取中标通知书并签订合同后向采购代理机构交纳招标代理服务费，本项目招标代理服务费按照苏招协</w:t>
      </w:r>
      <w:r>
        <w:rPr>
          <w:rFonts w:ascii="宋体" w:hAnsi="宋体" w:cs="宋体"/>
          <w:color w:val="auto"/>
          <w:sz w:val="24"/>
          <w:szCs w:val="24"/>
        </w:rPr>
        <w:t>[2022]002</w:t>
      </w:r>
      <w:r>
        <w:rPr>
          <w:rFonts w:hint="eastAsia" w:ascii="宋体" w:hAnsi="宋体" w:cs="宋体"/>
          <w:color w:val="auto"/>
          <w:sz w:val="24"/>
          <w:szCs w:val="24"/>
        </w:rPr>
        <w:t>号文收取，该费用由中标单位在签订合同后一次性支付，此项费用含在投标报价中，不单独列项，由投标单位在报价时综合考虑。</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8.5 </w:t>
      </w:r>
      <w:r>
        <w:rPr>
          <w:rFonts w:hint="eastAsia" w:ascii="宋体" w:hAnsi="宋体" w:cs="宋体"/>
          <w:color w:val="auto"/>
          <w:sz w:val="24"/>
          <w:szCs w:val="24"/>
        </w:rPr>
        <w:t>投标人在投标文件中应按照本招标文件所附的投标报价单样式进行报价，并计算总价。报价表必须由法定代表人或委托代理人签署。</w:t>
      </w:r>
    </w:p>
    <w:p>
      <w:pPr>
        <w:widowControl/>
        <w:spacing w:line="480" w:lineRule="exact"/>
        <w:ind w:firstLine="480"/>
        <w:jc w:val="left"/>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线上投标文件编制要求，请按照以下要求（包括但不限于以下要求）制作：</w:t>
      </w:r>
    </w:p>
    <w:p>
      <w:pPr>
        <w:widowControl/>
        <w:spacing w:line="480" w:lineRule="exact"/>
        <w:ind w:firstLine="482"/>
        <w:jc w:val="left"/>
        <w:rPr>
          <w:rFonts w:ascii="宋体"/>
          <w:b/>
          <w:bCs/>
          <w:color w:val="auto"/>
          <w:sz w:val="24"/>
          <w:szCs w:val="24"/>
        </w:rPr>
      </w:pPr>
      <w:r>
        <w:rPr>
          <w:rFonts w:ascii="宋体" w:hAnsi="宋体" w:cs="宋体"/>
          <w:b/>
          <w:bCs/>
          <w:color w:val="auto"/>
          <w:sz w:val="24"/>
          <w:szCs w:val="24"/>
        </w:rPr>
        <w:t>9.1</w:t>
      </w:r>
      <w:r>
        <w:rPr>
          <w:rFonts w:hint="eastAsia" w:ascii="宋体" w:hAnsi="宋体" w:cs="宋体"/>
          <w:b/>
          <w:bCs/>
          <w:color w:val="auto"/>
          <w:sz w:val="24"/>
          <w:szCs w:val="24"/>
        </w:rPr>
        <w:t>基本目录</w:t>
      </w:r>
    </w:p>
    <w:p>
      <w:pPr>
        <w:widowControl/>
        <w:spacing w:line="480" w:lineRule="exact"/>
        <w:ind w:firstLine="480"/>
        <w:jc w:val="left"/>
        <w:rPr>
          <w:rFonts w:ascii="宋体"/>
          <w:color w:val="auto"/>
          <w:sz w:val="24"/>
          <w:szCs w:val="24"/>
        </w:rPr>
      </w:pPr>
      <w:r>
        <w:rPr>
          <w:rFonts w:ascii="宋体" w:hAnsi="宋体" w:cs="宋体"/>
          <w:color w:val="auto"/>
          <w:sz w:val="24"/>
          <w:szCs w:val="24"/>
        </w:rPr>
        <w:t>9.1.1</w:t>
      </w:r>
      <w:r>
        <w:rPr>
          <w:rFonts w:hint="eastAsia" w:ascii="宋体" w:hAnsi="宋体" w:cs="宋体"/>
          <w:color w:val="auto"/>
          <w:sz w:val="24"/>
          <w:szCs w:val="24"/>
        </w:rPr>
        <w:t>《开标一览表》（加盖电子签章，政府采购客户端工具输入报价自动生成）；</w:t>
      </w:r>
    </w:p>
    <w:p>
      <w:pPr>
        <w:widowControl/>
        <w:spacing w:line="480" w:lineRule="exact"/>
        <w:ind w:firstLine="480"/>
        <w:jc w:val="left"/>
        <w:rPr>
          <w:rFonts w:ascii="宋体"/>
          <w:color w:val="auto"/>
          <w:sz w:val="24"/>
          <w:szCs w:val="24"/>
        </w:rPr>
      </w:pPr>
      <w:r>
        <w:rPr>
          <w:rFonts w:ascii="宋体" w:hAnsi="宋体" w:cs="宋体"/>
          <w:color w:val="auto"/>
          <w:sz w:val="24"/>
          <w:szCs w:val="24"/>
        </w:rPr>
        <w:t>9.1.2</w:t>
      </w:r>
      <w:r>
        <w:rPr>
          <w:rFonts w:hint="eastAsia" w:ascii="宋体" w:hAnsi="宋体" w:cs="宋体"/>
          <w:color w:val="auto"/>
          <w:sz w:val="24"/>
          <w:szCs w:val="24"/>
        </w:rPr>
        <w:t>《法定代表人身份证明书》及《授权委托书》（加盖电子签章，格式见招标文件第六章《投标文件相关格式》）。</w:t>
      </w:r>
    </w:p>
    <w:p>
      <w:pPr>
        <w:widowControl/>
        <w:spacing w:line="480" w:lineRule="exact"/>
        <w:ind w:firstLine="482"/>
        <w:jc w:val="left"/>
        <w:rPr>
          <w:rFonts w:ascii="宋体"/>
          <w:b/>
          <w:bCs/>
          <w:color w:val="auto"/>
          <w:sz w:val="24"/>
          <w:szCs w:val="24"/>
        </w:rPr>
      </w:pPr>
      <w:r>
        <w:rPr>
          <w:rFonts w:ascii="宋体" w:hAnsi="宋体" w:cs="宋体"/>
          <w:b/>
          <w:bCs/>
          <w:color w:val="auto"/>
          <w:sz w:val="24"/>
          <w:szCs w:val="24"/>
        </w:rPr>
        <w:t>9.2</w:t>
      </w:r>
      <w:r>
        <w:rPr>
          <w:rFonts w:hint="eastAsia" w:ascii="宋体" w:hAnsi="宋体" w:cs="宋体"/>
          <w:b/>
          <w:bCs/>
          <w:color w:val="auto"/>
          <w:sz w:val="24"/>
          <w:szCs w:val="24"/>
        </w:rPr>
        <w:t>资格条件</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）有效的营业执照（副本）原件扫描件；</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）投标人近半年内的财务报表或者上年度企业财务审计报告原件扫描件（财务报表须提供不少于三个月的）（成立不满一年不需提供）；</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）投标人经税务部门认可的近半年内依法缴纳税收的证明原件扫描件（不少于三个月的）（成立不满一年不需提供）；</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）具有履行合同所需的设备和专业技术能力的书面声明原件扫描件；</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）近三年无重大违法记录声明函原件扫描件。</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上述（</w:t>
      </w:r>
      <w:r>
        <w:rPr>
          <w:rFonts w:ascii="宋体" w:hAnsi="宋体" w:cs="宋体"/>
          <w:color w:val="auto"/>
          <w:sz w:val="24"/>
          <w:szCs w:val="24"/>
        </w:rPr>
        <w:t>1</w:t>
      </w:r>
      <w:r>
        <w:rPr>
          <w:rFonts w:hint="eastAsia" w:ascii="宋体" w:hAnsi="宋体" w:cs="宋体"/>
          <w:color w:val="auto"/>
          <w:sz w:val="24"/>
          <w:szCs w:val="24"/>
        </w:rPr>
        <w:t>）</w:t>
      </w:r>
      <w:r>
        <w:rPr>
          <w:rFonts w:asci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）必须提供，且须加盖电子签章，否则投标无效。</w:t>
      </w:r>
    </w:p>
    <w:p>
      <w:pPr>
        <w:widowControl/>
        <w:spacing w:line="480" w:lineRule="exact"/>
        <w:ind w:firstLine="482"/>
        <w:jc w:val="left"/>
        <w:rPr>
          <w:rFonts w:ascii="宋体"/>
          <w:color w:val="auto"/>
          <w:sz w:val="24"/>
          <w:szCs w:val="24"/>
        </w:rPr>
      </w:pPr>
      <w:r>
        <w:rPr>
          <w:rFonts w:ascii="宋体" w:hAnsi="宋体" w:cs="宋体"/>
          <w:b/>
          <w:bCs/>
          <w:color w:val="auto"/>
          <w:sz w:val="24"/>
          <w:szCs w:val="24"/>
        </w:rPr>
        <w:t>9.3</w:t>
      </w:r>
      <w:r>
        <w:rPr>
          <w:rFonts w:hint="eastAsia" w:ascii="宋体" w:hAnsi="宋体" w:cs="宋体"/>
          <w:b/>
          <w:bCs/>
          <w:color w:val="auto"/>
          <w:sz w:val="24"/>
          <w:szCs w:val="24"/>
        </w:rPr>
        <w:t>符合条件</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）报价：</w:t>
      </w:r>
      <w:r>
        <w:rPr>
          <w:rFonts w:hint="eastAsia" w:ascii="宋体" w:hAnsi="宋体" w:cs="宋体"/>
          <w:color w:val="auto"/>
          <w:sz w:val="24"/>
          <w:szCs w:val="24"/>
          <w:u w:val="single"/>
        </w:rPr>
        <w:t>①《投标函》；②清单报价表</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u w:val="single"/>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）商务资信：</w:t>
      </w:r>
      <w:r>
        <w:rPr>
          <w:rFonts w:hint="eastAsia" w:ascii="宋体" w:hAnsi="宋体" w:cs="宋体"/>
          <w:color w:val="auto"/>
          <w:sz w:val="24"/>
          <w:szCs w:val="24"/>
          <w:u w:val="single"/>
        </w:rPr>
        <w:t>①供应商登记表；②服务承诺函；③公共资源交易投标信用承诺书；④建湖县政府采购事前信用承诺书</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）技术响应：</w:t>
      </w:r>
      <w:r>
        <w:rPr>
          <w:rFonts w:hint="eastAsia" w:ascii="宋体" w:hAnsi="宋体" w:cs="宋体"/>
          <w:color w:val="auto"/>
          <w:sz w:val="24"/>
          <w:szCs w:val="24"/>
          <w:u w:val="single"/>
        </w:rPr>
        <w:t>《技术参数响应表》</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上述（</w:t>
      </w:r>
      <w:r>
        <w:rPr>
          <w:rFonts w:ascii="宋体" w:hAnsi="宋体" w:cs="宋体"/>
          <w:color w:val="auto"/>
          <w:sz w:val="24"/>
          <w:szCs w:val="24"/>
        </w:rPr>
        <w:t>1</w:t>
      </w:r>
      <w:r>
        <w:rPr>
          <w:rFonts w:hint="eastAsia" w:ascii="宋体" w:hAnsi="宋体" w:cs="宋体"/>
          <w:color w:val="auto"/>
          <w:sz w:val="24"/>
          <w:szCs w:val="24"/>
        </w:rPr>
        <w:t>）</w:t>
      </w:r>
      <w:r>
        <w:rPr>
          <w:rFonts w:asci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）符合条件要求内容必须提供，且须加盖电子签章，格式见招标文件第六章《投标文件相关格式》，否则投标无效。</w:t>
      </w:r>
    </w:p>
    <w:p>
      <w:pPr>
        <w:widowControl/>
        <w:spacing w:line="480" w:lineRule="exact"/>
        <w:ind w:firstLine="482"/>
        <w:jc w:val="left"/>
        <w:rPr>
          <w:rFonts w:ascii="宋体"/>
          <w:b/>
          <w:bCs/>
          <w:color w:val="auto"/>
          <w:sz w:val="24"/>
          <w:szCs w:val="24"/>
        </w:rPr>
      </w:pPr>
      <w:r>
        <w:rPr>
          <w:rFonts w:ascii="宋体" w:hAnsi="宋体" w:cs="宋体"/>
          <w:b/>
          <w:bCs/>
          <w:color w:val="auto"/>
          <w:sz w:val="24"/>
          <w:szCs w:val="24"/>
        </w:rPr>
        <w:t>9.4</w:t>
      </w:r>
      <w:r>
        <w:rPr>
          <w:rFonts w:hint="eastAsia" w:ascii="宋体" w:hAnsi="宋体" w:cs="宋体"/>
          <w:b/>
          <w:bCs/>
          <w:color w:val="auto"/>
          <w:sz w:val="24"/>
          <w:szCs w:val="24"/>
        </w:rPr>
        <w:t>企业报价折扣证明</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）投标人为中小企业（含中型、小型、微型企业）的，提供《中小企业声明函》（加盖电子签章，填写完整，格式见招标文件第六章《投标文件相关格式》）。</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）投标人为监狱企业的等同于小微企业，提供省级以上监狱管理局、戒毒管理局（含新疆生产建设兵团）出具的属于监狱企业的证明文件。</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）投标人为享受政府采购支持政策的残疾人福利性单位的等同于小微企业，提供《残疾人福利性单位声明函》（加盖电子签章，格式见招标文件第六章《投标文件相关格式》）。</w:t>
      </w:r>
    </w:p>
    <w:p>
      <w:pPr>
        <w:widowControl/>
        <w:spacing w:line="480" w:lineRule="exact"/>
        <w:ind w:firstLine="482"/>
        <w:jc w:val="left"/>
        <w:rPr>
          <w:rFonts w:ascii="宋体"/>
          <w:b/>
          <w:bCs/>
          <w:color w:val="auto"/>
          <w:sz w:val="24"/>
          <w:szCs w:val="24"/>
        </w:rPr>
      </w:pPr>
      <w:r>
        <w:rPr>
          <w:rFonts w:ascii="宋体" w:hAnsi="宋体" w:cs="宋体"/>
          <w:b/>
          <w:bCs/>
          <w:color w:val="auto"/>
          <w:sz w:val="24"/>
          <w:szCs w:val="24"/>
        </w:rPr>
        <w:t>9.5</w:t>
      </w:r>
      <w:r>
        <w:rPr>
          <w:rFonts w:hint="eastAsia" w:ascii="宋体" w:hAnsi="宋体" w:cs="宋体"/>
          <w:b/>
          <w:bCs/>
          <w:color w:val="auto"/>
          <w:sz w:val="24"/>
          <w:szCs w:val="24"/>
        </w:rPr>
        <w:t>招标文件要求的其他证明资料和评标细则要求提供证明材料。</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注：</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b/>
          <w:bCs/>
          <w:color w:val="auto"/>
          <w:sz w:val="24"/>
          <w:szCs w:val="24"/>
          <w:u w:val="single"/>
        </w:rPr>
        <w:t>投标人应对以上文件的合法性、真实性负责，投标人提供的材料如有虚假，视为提供虚假材料谋取中标资格，将被列入不良行为记录名单</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b/>
          <w:bCs/>
          <w:color w:val="auto"/>
          <w:sz w:val="24"/>
          <w:szCs w:val="24"/>
          <w:u w:val="single"/>
        </w:rPr>
        <w:t>签订合同前，中标人必须向采购人提交其投标文件中所有材料原件，采购人核查无误后，签订合同。如中标人不能在采购人规定的时间内向采购人提供原件，将被采购人视为放弃中标资格</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．投标文件线上格式要求</w:t>
      </w:r>
    </w:p>
    <w:p>
      <w:pPr>
        <w:widowControl/>
        <w:spacing w:line="480" w:lineRule="exact"/>
        <w:ind w:firstLine="480"/>
        <w:jc w:val="left"/>
        <w:rPr>
          <w:rFonts w:ascii="宋体"/>
          <w:color w:val="auto"/>
          <w:sz w:val="24"/>
          <w:szCs w:val="24"/>
        </w:rPr>
      </w:pPr>
      <w:r>
        <w:rPr>
          <w:rFonts w:ascii="宋体" w:hAnsi="宋体" w:cs="宋体"/>
          <w:color w:val="auto"/>
          <w:sz w:val="24"/>
          <w:szCs w:val="24"/>
        </w:rPr>
        <w:t>10.1</w:t>
      </w:r>
      <w:r>
        <w:rPr>
          <w:rFonts w:hint="eastAsia" w:ascii="宋体" w:hAnsi="宋体" w:cs="宋体"/>
          <w:color w:val="auto"/>
          <w:sz w:val="24"/>
          <w:szCs w:val="24"/>
        </w:rPr>
        <w:t>投标人应当通过“苏采云”系统提交数据电文形式的投标文件（即电子投标）；</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10.2 </w:t>
      </w:r>
      <w:r>
        <w:rPr>
          <w:rFonts w:hint="eastAsia" w:ascii="宋体" w:hAnsi="宋体" w:cs="宋体"/>
          <w:color w:val="auto"/>
          <w:sz w:val="24"/>
          <w:szCs w:val="24"/>
        </w:rPr>
        <w:t>通过“苏采云”系统提交政府采购客户端工具导出加密的投标文件（后缀名为</w:t>
      </w:r>
      <w:r>
        <w:rPr>
          <w:rFonts w:ascii="宋体" w:hAnsi="宋体" w:cs="宋体"/>
          <w:color w:val="auto"/>
          <w:sz w:val="24"/>
          <w:szCs w:val="24"/>
        </w:rPr>
        <w:t>zip</w:t>
      </w:r>
      <w:r>
        <w:rPr>
          <w:rFonts w:hint="eastAsia" w:ascii="宋体" w:hAnsi="宋体" w:cs="宋体"/>
          <w:color w:val="auto"/>
          <w:sz w:val="24"/>
          <w:szCs w:val="24"/>
        </w:rPr>
        <w:t>），投标文件不得超过</w:t>
      </w:r>
      <w:r>
        <w:rPr>
          <w:rFonts w:ascii="宋体" w:hAnsi="宋体" w:cs="宋体"/>
          <w:color w:val="auto"/>
          <w:sz w:val="24"/>
          <w:szCs w:val="24"/>
        </w:rPr>
        <w:t>150M</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10.3</w:t>
      </w:r>
      <w:r>
        <w:rPr>
          <w:rFonts w:hint="eastAsia" w:ascii="宋体" w:hAnsi="宋体" w:cs="宋体"/>
          <w:b/>
          <w:bCs/>
          <w:color w:val="auto"/>
          <w:sz w:val="24"/>
          <w:szCs w:val="24"/>
          <w:u w:val="single"/>
        </w:rPr>
        <w:t>本项目采用线上投标，即供应商投标文件从政府采购客户端工具制作通过“苏采云”系统提交，未提供线上投标文件的，投标无效</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w:t>
      </w:r>
      <w:r>
        <w:rPr>
          <w:rFonts w:hint="eastAsia" w:ascii="宋体" w:hAnsi="宋体" w:cs="宋体"/>
          <w:b/>
          <w:bCs/>
          <w:color w:val="auto"/>
          <w:sz w:val="24"/>
          <w:szCs w:val="24"/>
          <w:u w:val="single"/>
        </w:rPr>
        <w:t>线上投标文件的密封、签署、盖章要求</w:t>
      </w:r>
    </w:p>
    <w:p>
      <w:pPr>
        <w:widowControl/>
        <w:spacing w:line="480" w:lineRule="exact"/>
        <w:ind w:firstLine="480"/>
        <w:jc w:val="left"/>
        <w:rPr>
          <w:rFonts w:ascii="宋体"/>
          <w:color w:val="auto"/>
          <w:sz w:val="24"/>
          <w:szCs w:val="24"/>
        </w:rPr>
      </w:pPr>
      <w:r>
        <w:rPr>
          <w:rFonts w:ascii="宋体" w:hAnsi="宋体" w:cs="宋体"/>
          <w:color w:val="auto"/>
          <w:sz w:val="24"/>
          <w:szCs w:val="24"/>
        </w:rPr>
        <w:t>11.1</w:t>
      </w:r>
      <w:r>
        <w:rPr>
          <w:rFonts w:hint="eastAsia" w:ascii="宋体" w:hAnsi="宋体" w:cs="宋体"/>
          <w:color w:val="auto"/>
          <w:sz w:val="24"/>
          <w:szCs w:val="24"/>
        </w:rPr>
        <w:t>投标文件的密封（加密）要求：</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投标人应当按照招标文件和“苏采云”系统的要求编制并加密投标文件。本项目投标人须通过“苏采云”系统提供的政府采购客户端工具（使用“</w:t>
      </w:r>
      <w:r>
        <w:rPr>
          <w:rFonts w:ascii="宋体" w:hAnsi="宋体" w:cs="宋体"/>
          <w:color w:val="auto"/>
          <w:sz w:val="24"/>
          <w:szCs w:val="24"/>
        </w:rPr>
        <w:t>CA</w:t>
      </w:r>
      <w:r>
        <w:rPr>
          <w:rFonts w:hint="eastAsia" w:ascii="宋体" w:hAnsi="宋体" w:cs="宋体"/>
          <w:color w:val="auto"/>
          <w:sz w:val="24"/>
          <w:szCs w:val="24"/>
        </w:rPr>
        <w:t>数字证书”）对其数据电文形式的投标文件加密；</w:t>
      </w:r>
    </w:p>
    <w:p>
      <w:pPr>
        <w:widowControl/>
        <w:spacing w:line="480" w:lineRule="exact"/>
        <w:ind w:firstLine="480"/>
        <w:jc w:val="left"/>
        <w:rPr>
          <w:rFonts w:ascii="宋体"/>
          <w:color w:val="auto"/>
          <w:sz w:val="24"/>
          <w:szCs w:val="24"/>
        </w:rPr>
      </w:pPr>
      <w:r>
        <w:rPr>
          <w:rFonts w:ascii="宋体" w:hAnsi="宋体" w:cs="宋体"/>
          <w:color w:val="auto"/>
          <w:sz w:val="24"/>
          <w:szCs w:val="24"/>
        </w:rPr>
        <w:t>11.2</w:t>
      </w:r>
      <w:r>
        <w:rPr>
          <w:rFonts w:hint="eastAsia" w:ascii="宋体" w:hAnsi="宋体" w:cs="宋体"/>
          <w:color w:val="auto"/>
          <w:sz w:val="24"/>
          <w:szCs w:val="24"/>
        </w:rPr>
        <w:t>投标文件的签署要求：见招标文件第六章《投标文件相关格式》；</w:t>
      </w:r>
    </w:p>
    <w:p>
      <w:pPr>
        <w:widowControl/>
        <w:spacing w:line="480" w:lineRule="exact"/>
        <w:ind w:firstLine="480"/>
        <w:jc w:val="left"/>
        <w:rPr>
          <w:rFonts w:ascii="宋体"/>
          <w:color w:val="auto"/>
          <w:sz w:val="24"/>
          <w:szCs w:val="24"/>
        </w:rPr>
      </w:pPr>
      <w:r>
        <w:rPr>
          <w:rFonts w:ascii="宋体" w:hAnsi="宋体" w:cs="宋体"/>
          <w:color w:val="auto"/>
          <w:sz w:val="24"/>
          <w:szCs w:val="24"/>
        </w:rPr>
        <w:t>11.3</w:t>
      </w:r>
      <w:r>
        <w:rPr>
          <w:rFonts w:hint="eastAsia" w:ascii="宋体" w:hAnsi="宋体" w:cs="宋体"/>
          <w:color w:val="auto"/>
          <w:sz w:val="24"/>
          <w:szCs w:val="24"/>
        </w:rPr>
        <w:t>投标文件的盖章要求：见招标文件第二章《线上投标文件编制要求》和招标文件第六章《投标文件相关格式》。投标人须通过“苏采云”系统提供的政府采购客户端工具（使用“</w:t>
      </w:r>
      <w:r>
        <w:rPr>
          <w:rFonts w:ascii="宋体" w:hAnsi="宋体" w:cs="宋体"/>
          <w:color w:val="auto"/>
          <w:sz w:val="24"/>
          <w:szCs w:val="24"/>
        </w:rPr>
        <w:t>CA</w:t>
      </w:r>
      <w:r>
        <w:rPr>
          <w:rFonts w:hint="eastAsia" w:ascii="宋体" w:hAnsi="宋体" w:cs="宋体"/>
          <w:color w:val="auto"/>
          <w:sz w:val="24"/>
          <w:szCs w:val="24"/>
        </w:rPr>
        <w:t>数字证书”）加盖电子签章；</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说明：投标人应在用</w:t>
      </w:r>
      <w:r>
        <w:rPr>
          <w:rFonts w:ascii="宋体" w:hAnsi="宋体" w:cs="宋体"/>
          <w:color w:val="auto"/>
          <w:sz w:val="24"/>
          <w:szCs w:val="24"/>
        </w:rPr>
        <w:t>CA</w:t>
      </w:r>
      <w:r>
        <w:rPr>
          <w:rFonts w:hint="eastAsia" w:ascii="宋体" w:hAnsi="宋体" w:cs="宋体"/>
          <w:color w:val="auto"/>
          <w:sz w:val="24"/>
          <w:szCs w:val="24"/>
        </w:rPr>
        <w:t>数字证书以及自备的能够登录“苏采云”系统的笔记本电脑，在达到开标时间后，使用</w:t>
      </w:r>
      <w:r>
        <w:rPr>
          <w:rFonts w:ascii="宋体" w:hAnsi="宋体" w:cs="宋体"/>
          <w:color w:val="auto"/>
          <w:sz w:val="24"/>
          <w:szCs w:val="24"/>
        </w:rPr>
        <w:t>CA</w:t>
      </w:r>
      <w:r>
        <w:rPr>
          <w:rFonts w:hint="eastAsia" w:ascii="宋体" w:hAnsi="宋体" w:cs="宋体"/>
          <w:color w:val="auto"/>
          <w:sz w:val="24"/>
          <w:szCs w:val="24"/>
        </w:rPr>
        <w:t>数字证书解密各自投标文件。</w:t>
      </w:r>
    </w:p>
    <w:p>
      <w:pPr>
        <w:widowControl/>
        <w:spacing w:line="480" w:lineRule="exact"/>
        <w:ind w:firstLine="480"/>
        <w:jc w:val="left"/>
        <w:rPr>
          <w:rFonts w:ascii="宋体"/>
          <w:color w:val="auto"/>
          <w:sz w:val="24"/>
          <w:szCs w:val="24"/>
        </w:rPr>
      </w:pPr>
      <w:r>
        <w:rPr>
          <w:rFonts w:ascii="宋体" w:hAnsi="宋体" w:cs="宋体"/>
          <w:color w:val="auto"/>
          <w:sz w:val="24"/>
          <w:szCs w:val="24"/>
        </w:rPr>
        <w:t>11.4</w:t>
      </w:r>
      <w:r>
        <w:rPr>
          <w:rFonts w:hint="eastAsia" w:ascii="宋体" w:hAnsi="宋体" w:cs="宋体"/>
          <w:color w:val="auto"/>
          <w:sz w:val="24"/>
          <w:szCs w:val="24"/>
        </w:rPr>
        <w:t>投标人未按规定加密的投标文件，“苏采云”系统应当拒收并提示。</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12. </w:t>
      </w:r>
      <w:r>
        <w:rPr>
          <w:rFonts w:hint="eastAsia" w:ascii="宋体" w:hAnsi="宋体" w:cs="宋体"/>
          <w:color w:val="auto"/>
          <w:sz w:val="24"/>
          <w:szCs w:val="24"/>
        </w:rPr>
        <w:t>投标文件的提交与接收</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12.1 </w:t>
      </w:r>
      <w:r>
        <w:rPr>
          <w:rFonts w:hint="eastAsia" w:ascii="宋体" w:hAnsi="宋体" w:cs="宋体"/>
          <w:color w:val="auto"/>
          <w:sz w:val="24"/>
          <w:szCs w:val="24"/>
        </w:rPr>
        <w:t>投标文件提交与接收时间：</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线上提交与接收时间：</w:t>
      </w:r>
      <w:r>
        <w:rPr>
          <w:rFonts w:hint="eastAsia" w:ascii="宋体" w:hAnsi="宋体" w:cs="宋体"/>
          <w:color w:val="auto"/>
          <w:sz w:val="24"/>
          <w:szCs w:val="24"/>
          <w:u w:val="single"/>
        </w:rPr>
        <w:t>提交投标文件截止时间前</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12.2</w:t>
      </w:r>
      <w:r>
        <w:rPr>
          <w:rFonts w:hint="eastAsia" w:ascii="宋体" w:hAnsi="宋体" w:cs="宋体"/>
          <w:color w:val="auto"/>
          <w:sz w:val="24"/>
          <w:szCs w:val="24"/>
        </w:rPr>
        <w:t>投标文件提交与接收地点：</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线上提交与接收地点：</w:t>
      </w:r>
      <w:r>
        <w:rPr>
          <w:rFonts w:hint="eastAsia" w:ascii="宋体" w:hAnsi="宋体" w:cs="宋体"/>
          <w:b/>
          <w:bCs/>
          <w:color w:val="auto"/>
          <w:sz w:val="24"/>
          <w:szCs w:val="24"/>
          <w:u w:val="single"/>
        </w:rPr>
        <w:t>投标人应当通过“苏采云”系统提交数据电文形式的投标文件（即电子投标），“苏采云”系统自动接收</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说明：</w:t>
      </w:r>
      <w:r>
        <w:rPr>
          <w:rFonts w:hint="eastAsia" w:ascii="宋体" w:hAnsi="宋体" w:cs="宋体"/>
          <w:b/>
          <w:bCs/>
          <w:color w:val="auto"/>
          <w:spacing w:val="-2"/>
          <w:sz w:val="24"/>
          <w:szCs w:val="24"/>
          <w:u w:val="single"/>
        </w:rPr>
        <w:t>电子投标文件应由其法定代表人或法定代表人授权代表在规定的网上投标时间内，凭</w:t>
      </w:r>
      <w:r>
        <w:rPr>
          <w:rFonts w:ascii="宋体" w:hAnsi="宋体" w:cs="宋体"/>
          <w:b/>
          <w:bCs/>
          <w:color w:val="auto"/>
          <w:spacing w:val="-2"/>
          <w:sz w:val="24"/>
          <w:szCs w:val="24"/>
          <w:u w:val="single"/>
        </w:rPr>
        <w:t xml:space="preserve"> CA </w:t>
      </w:r>
      <w:r>
        <w:rPr>
          <w:rFonts w:hint="eastAsia" w:ascii="宋体" w:hAnsi="宋体" w:cs="宋体"/>
          <w:b/>
          <w:bCs/>
          <w:color w:val="auto"/>
          <w:spacing w:val="-2"/>
          <w:sz w:val="24"/>
          <w:szCs w:val="24"/>
          <w:u w:val="single"/>
        </w:rPr>
        <w:t>证书登录“苏采云”系统在线编制投标文件（电子数据），并在投标截止时间之前上传投标文件。投标人应在达到开标时间后，使用</w:t>
      </w:r>
      <w:r>
        <w:rPr>
          <w:rFonts w:ascii="宋体" w:hAnsi="宋体" w:cs="宋体"/>
          <w:b/>
          <w:bCs/>
          <w:color w:val="auto"/>
          <w:spacing w:val="-2"/>
          <w:sz w:val="24"/>
          <w:szCs w:val="24"/>
          <w:u w:val="single"/>
        </w:rPr>
        <w:t>CA</w:t>
      </w:r>
      <w:r>
        <w:rPr>
          <w:rFonts w:hint="eastAsia" w:ascii="宋体" w:hAnsi="宋体" w:cs="宋体"/>
          <w:b/>
          <w:bCs/>
          <w:color w:val="auto"/>
          <w:spacing w:val="-2"/>
          <w:sz w:val="24"/>
          <w:szCs w:val="24"/>
          <w:u w:val="single"/>
        </w:rPr>
        <w:t>数字证书解密各自投标文件</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．投标文件的撤回与修改</w:t>
      </w:r>
    </w:p>
    <w:p>
      <w:pPr>
        <w:widowControl/>
        <w:spacing w:line="480" w:lineRule="exact"/>
        <w:ind w:firstLine="480"/>
        <w:jc w:val="left"/>
        <w:rPr>
          <w:rFonts w:ascii="宋体"/>
          <w:color w:val="auto"/>
          <w:sz w:val="24"/>
          <w:szCs w:val="24"/>
        </w:rPr>
      </w:pPr>
      <w:r>
        <w:rPr>
          <w:rFonts w:ascii="宋体" w:hAnsi="宋体" w:cs="宋体"/>
          <w:color w:val="auto"/>
          <w:sz w:val="24"/>
          <w:szCs w:val="24"/>
        </w:rPr>
        <w:t>13.1</w:t>
      </w:r>
      <w:r>
        <w:rPr>
          <w:rFonts w:hint="eastAsia" w:ascii="宋体" w:hAnsi="宋体" w:cs="宋体"/>
          <w:color w:val="auto"/>
          <w:sz w:val="24"/>
          <w:szCs w:val="24"/>
        </w:rPr>
        <w:t>投标文件的撤回</w:t>
      </w:r>
    </w:p>
    <w:p>
      <w:pPr>
        <w:widowControl/>
        <w:spacing w:line="480" w:lineRule="exact"/>
        <w:ind w:firstLine="480"/>
        <w:jc w:val="left"/>
        <w:rPr>
          <w:rFonts w:ascii="宋体"/>
          <w:color w:val="auto"/>
          <w:sz w:val="24"/>
          <w:szCs w:val="24"/>
        </w:rPr>
      </w:pPr>
      <w:r>
        <w:rPr>
          <w:rFonts w:ascii="宋体" w:hAnsi="宋体" w:cs="宋体"/>
          <w:color w:val="auto"/>
          <w:sz w:val="24"/>
          <w:szCs w:val="24"/>
        </w:rPr>
        <w:t>13.1.1</w:t>
      </w:r>
      <w:r>
        <w:rPr>
          <w:rFonts w:hint="eastAsia" w:ascii="宋体" w:hAnsi="宋体" w:cs="宋体"/>
          <w:color w:val="auto"/>
          <w:sz w:val="24"/>
          <w:szCs w:val="24"/>
        </w:rPr>
        <w:t>电子投标文件的撤回</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投标人可在投标截止时间前，撤回其电子投标文件，具体操作方法见《江苏省政府采购（供应商）意源</w:t>
      </w:r>
      <w:r>
        <w:rPr>
          <w:rFonts w:ascii="宋体" w:hAnsi="宋体" w:cs="宋体"/>
          <w:color w:val="auto"/>
          <w:sz w:val="24"/>
          <w:szCs w:val="24"/>
        </w:rPr>
        <w:t>CA</w:t>
      </w:r>
      <w:r>
        <w:rPr>
          <w:rFonts w:hint="eastAsia" w:ascii="宋体" w:hAnsi="宋体" w:cs="宋体"/>
          <w:color w:val="auto"/>
          <w:sz w:val="24"/>
          <w:szCs w:val="24"/>
        </w:rPr>
        <w:t>数字证书及电子签章办理指南》；</w:t>
      </w:r>
    </w:p>
    <w:p>
      <w:pPr>
        <w:widowControl/>
        <w:spacing w:line="480" w:lineRule="exact"/>
        <w:ind w:firstLine="480"/>
        <w:jc w:val="left"/>
        <w:rPr>
          <w:rFonts w:ascii="宋体"/>
          <w:color w:val="auto"/>
          <w:sz w:val="24"/>
          <w:szCs w:val="24"/>
        </w:rPr>
      </w:pPr>
      <w:r>
        <w:rPr>
          <w:rFonts w:ascii="宋体" w:hAnsi="宋体" w:cs="宋体"/>
          <w:color w:val="auto"/>
          <w:sz w:val="24"/>
          <w:szCs w:val="24"/>
        </w:rPr>
        <w:t>13.1.2</w:t>
      </w:r>
      <w:r>
        <w:rPr>
          <w:rFonts w:hint="eastAsia" w:ascii="宋体" w:hAnsi="宋体" w:cs="宋体"/>
          <w:color w:val="auto"/>
          <w:sz w:val="24"/>
          <w:szCs w:val="24"/>
        </w:rPr>
        <w:t>投标人撤回电子投标文件，则认为其不再参与本项目投标活动。</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13.2 </w:t>
      </w:r>
      <w:r>
        <w:rPr>
          <w:rFonts w:hint="eastAsia" w:ascii="宋体" w:hAnsi="宋体" w:cs="宋体"/>
          <w:color w:val="auto"/>
          <w:sz w:val="24"/>
          <w:szCs w:val="24"/>
        </w:rPr>
        <w:t>投标文件的修改，投标人可在投标截止时间前，对其电子投标文件进行修改，具体操作方法见《江苏省政府采购（供应商）意源</w:t>
      </w:r>
      <w:r>
        <w:rPr>
          <w:rFonts w:ascii="宋体" w:hAnsi="宋体" w:cs="宋体"/>
          <w:color w:val="auto"/>
          <w:sz w:val="24"/>
          <w:szCs w:val="24"/>
        </w:rPr>
        <w:t>CA</w:t>
      </w:r>
      <w:r>
        <w:rPr>
          <w:rFonts w:hint="eastAsia" w:ascii="宋体" w:hAnsi="宋体" w:cs="宋体"/>
          <w:color w:val="auto"/>
          <w:sz w:val="24"/>
          <w:szCs w:val="24"/>
        </w:rPr>
        <w:t>数字证书及电子签章办理指南》；</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13.3 </w:t>
      </w:r>
      <w:r>
        <w:rPr>
          <w:rFonts w:hint="eastAsia" w:ascii="宋体" w:hAnsi="宋体" w:cs="宋体"/>
          <w:color w:val="auto"/>
          <w:sz w:val="24"/>
          <w:szCs w:val="24"/>
        </w:rPr>
        <w:t>在投标截止时间之后，投标人不得对其电子投标文件作任何修改；</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13.4 </w:t>
      </w:r>
      <w:r>
        <w:rPr>
          <w:rFonts w:hint="eastAsia" w:ascii="宋体" w:hAnsi="宋体" w:cs="宋体"/>
          <w:color w:val="auto"/>
          <w:sz w:val="24"/>
          <w:szCs w:val="24"/>
        </w:rPr>
        <w:t>在投标截止时间至招标文件中规定的投标有效期满之间的这段时间内，投标人不得撤回其投标。</w:t>
      </w:r>
    </w:p>
    <w:p>
      <w:pPr>
        <w:spacing w:before="156" w:after="156" w:line="400" w:lineRule="exact"/>
        <w:ind w:left="238" w:firstLine="482"/>
        <w:jc w:val="center"/>
        <w:outlineLvl w:val="1"/>
        <w:rPr>
          <w:rFonts w:hint="eastAsia" w:ascii="宋体" w:hAnsi="宋体" w:cs="宋体"/>
          <w:b/>
          <w:bCs/>
          <w:color w:val="auto"/>
          <w:sz w:val="24"/>
          <w:szCs w:val="24"/>
        </w:rPr>
      </w:pPr>
      <w:bookmarkStart w:id="13" w:name="_Toc130206645"/>
    </w:p>
    <w:p>
      <w:pPr>
        <w:spacing w:before="156" w:after="156" w:line="400" w:lineRule="exact"/>
        <w:ind w:left="238" w:firstLine="482"/>
        <w:jc w:val="center"/>
        <w:outlineLvl w:val="1"/>
        <w:rPr>
          <w:rFonts w:ascii="宋体"/>
          <w:b/>
          <w:bCs/>
          <w:color w:val="auto"/>
          <w:sz w:val="24"/>
          <w:szCs w:val="24"/>
        </w:rPr>
      </w:pPr>
      <w:r>
        <w:rPr>
          <w:rFonts w:hint="eastAsia" w:ascii="宋体" w:hAnsi="宋体" w:cs="宋体"/>
          <w:b/>
          <w:bCs/>
          <w:color w:val="auto"/>
          <w:sz w:val="24"/>
          <w:szCs w:val="24"/>
        </w:rPr>
        <w:t>五、开标及资格审查</w:t>
      </w:r>
      <w:bookmarkEnd w:id="13"/>
    </w:p>
    <w:p>
      <w:pPr>
        <w:widowControl/>
        <w:spacing w:line="480" w:lineRule="exact"/>
        <w:ind w:firstLine="480"/>
        <w:jc w:val="left"/>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．开标、唱标、资格审查</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14.1 </w:t>
      </w:r>
      <w:r>
        <w:rPr>
          <w:rFonts w:hint="eastAsia" w:ascii="宋体" w:hAnsi="宋体" w:cs="宋体"/>
          <w:color w:val="auto"/>
          <w:sz w:val="24"/>
          <w:szCs w:val="24"/>
        </w:rPr>
        <w:t>线上开标时，“苏采云”系统自动提取所有投标文件，投标人按招标文件规定方式按时在线解密。本项目招标文件规定的投标人按时在线解密方式：通过“苏采云”系统（使用“</w:t>
      </w:r>
      <w:r>
        <w:rPr>
          <w:rFonts w:ascii="宋体" w:hAnsi="宋体" w:cs="宋体"/>
          <w:color w:val="auto"/>
          <w:sz w:val="24"/>
          <w:szCs w:val="24"/>
        </w:rPr>
        <w:t>CA</w:t>
      </w:r>
      <w:r>
        <w:rPr>
          <w:rFonts w:hint="eastAsia" w:ascii="宋体" w:hAnsi="宋体" w:cs="宋体"/>
          <w:color w:val="auto"/>
          <w:sz w:val="24"/>
          <w:szCs w:val="24"/>
        </w:rPr>
        <w:t>数字证书”）解密；</w:t>
      </w:r>
    </w:p>
    <w:p>
      <w:pPr>
        <w:widowControl/>
        <w:spacing w:line="480" w:lineRule="exact"/>
        <w:ind w:firstLine="480"/>
        <w:jc w:val="left"/>
        <w:rPr>
          <w:rFonts w:ascii="宋体"/>
          <w:color w:val="auto"/>
          <w:sz w:val="24"/>
          <w:szCs w:val="24"/>
        </w:rPr>
      </w:pPr>
      <w:r>
        <w:rPr>
          <w:rFonts w:ascii="宋体" w:hAnsi="宋体" w:cs="宋体"/>
          <w:color w:val="auto"/>
          <w:sz w:val="24"/>
          <w:szCs w:val="24"/>
        </w:rPr>
        <w:t>14.2</w:t>
      </w:r>
      <w:r>
        <w:rPr>
          <w:rFonts w:hint="eastAsia" w:ascii="宋体" w:hAnsi="宋体" w:cs="宋体"/>
          <w:color w:val="auto"/>
          <w:sz w:val="24"/>
          <w:szCs w:val="24"/>
        </w:rPr>
        <w:t>所有投标人解密（或解密时间）结束后，“苏采云”系统生成开标记录并向社会公众公布，但依法应当保密的除外；</w:t>
      </w:r>
    </w:p>
    <w:p>
      <w:pPr>
        <w:widowControl/>
        <w:spacing w:line="480" w:lineRule="exact"/>
        <w:ind w:firstLine="480"/>
        <w:jc w:val="left"/>
        <w:rPr>
          <w:rFonts w:ascii="宋体"/>
          <w:color w:val="auto"/>
          <w:sz w:val="24"/>
          <w:szCs w:val="24"/>
        </w:rPr>
      </w:pPr>
      <w:r>
        <w:rPr>
          <w:rFonts w:ascii="宋体" w:hAnsi="宋体" w:cs="宋体"/>
          <w:color w:val="auto"/>
          <w:sz w:val="24"/>
          <w:szCs w:val="24"/>
        </w:rPr>
        <w:t>14.3</w:t>
      </w:r>
      <w:r>
        <w:rPr>
          <w:rFonts w:hint="eastAsia" w:ascii="宋体" w:hAnsi="宋体" w:cs="宋体"/>
          <w:color w:val="auto"/>
          <w:sz w:val="24"/>
          <w:szCs w:val="24"/>
        </w:rPr>
        <w:t>开标时，《开标一览表》（报价表）内容与投标文件中相应内容不一致的，以《开标一览表》（报价表）为准；</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14.4 </w:t>
      </w:r>
      <w:r>
        <w:rPr>
          <w:rFonts w:hint="eastAsia" w:ascii="宋体" w:hAnsi="宋体" w:cs="宋体"/>
          <w:color w:val="auto"/>
          <w:sz w:val="24"/>
          <w:szCs w:val="24"/>
        </w:rPr>
        <w:t>投标文件、《开标一览表》（报价表）中报价的大写金额与小写金额不一致的，以大写金额为准；</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14.5 </w:t>
      </w:r>
      <w:r>
        <w:rPr>
          <w:rFonts w:hint="eastAsia" w:ascii="宋体" w:hAnsi="宋体" w:cs="宋体"/>
          <w:color w:val="auto"/>
          <w:sz w:val="24"/>
          <w:szCs w:val="24"/>
        </w:rPr>
        <w:t>单价金额小数点或者百分比有明显错位的，以《开标一览表》（报价表）的总价为准，并修改单价；</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14.6 </w:t>
      </w:r>
      <w:r>
        <w:rPr>
          <w:rFonts w:hint="eastAsia" w:ascii="宋体" w:hAnsi="宋体" w:cs="宋体"/>
          <w:color w:val="auto"/>
          <w:sz w:val="24"/>
          <w:szCs w:val="24"/>
        </w:rPr>
        <w:t>总价金额与按单价汇总金额不一致的，以单价金额计算结果为准；</w:t>
      </w:r>
    </w:p>
    <w:p>
      <w:pPr>
        <w:widowControl/>
        <w:spacing w:line="480" w:lineRule="exact"/>
        <w:ind w:firstLine="480"/>
        <w:jc w:val="left"/>
        <w:rPr>
          <w:rFonts w:ascii="宋体"/>
          <w:color w:val="auto"/>
          <w:sz w:val="24"/>
          <w:szCs w:val="24"/>
        </w:rPr>
      </w:pPr>
      <w:r>
        <w:rPr>
          <w:rFonts w:ascii="宋体" w:hAnsi="宋体" w:cs="宋体"/>
          <w:color w:val="auto"/>
          <w:sz w:val="24"/>
          <w:szCs w:val="24"/>
        </w:rPr>
        <w:t>14.7</w:t>
      </w:r>
      <w:r>
        <w:rPr>
          <w:rFonts w:hint="eastAsia" w:ascii="宋体" w:hAnsi="宋体" w:cs="宋体"/>
          <w:color w:val="auto"/>
          <w:sz w:val="24"/>
          <w:szCs w:val="24"/>
        </w:rPr>
        <w:t>同时出现</w:t>
      </w:r>
      <w:r>
        <w:rPr>
          <w:rFonts w:ascii="宋体" w:hAnsi="宋体" w:cs="宋体"/>
          <w:color w:val="auto"/>
          <w:sz w:val="24"/>
          <w:szCs w:val="24"/>
        </w:rPr>
        <w:t>14.3-14.6</w:t>
      </w:r>
      <w:r>
        <w:rPr>
          <w:rFonts w:hint="eastAsia" w:ascii="宋体" w:hAnsi="宋体" w:cs="宋体"/>
          <w:color w:val="auto"/>
          <w:sz w:val="24"/>
          <w:szCs w:val="24"/>
        </w:rPr>
        <w:t>中两种以上不一致的</w:t>
      </w:r>
      <w:r>
        <w:rPr>
          <w:rFonts w:ascii="宋体" w:cs="宋体"/>
          <w:color w:val="auto"/>
          <w:sz w:val="24"/>
          <w:szCs w:val="24"/>
        </w:rPr>
        <w:t>,</w:t>
      </w:r>
      <w:r>
        <w:rPr>
          <w:rFonts w:hint="eastAsia" w:ascii="宋体" w:hAnsi="宋体" w:cs="宋体"/>
          <w:color w:val="auto"/>
          <w:sz w:val="24"/>
          <w:szCs w:val="24"/>
        </w:rPr>
        <w:t>按照</w:t>
      </w:r>
      <w:r>
        <w:rPr>
          <w:rFonts w:ascii="宋体" w:hAnsi="宋体" w:cs="宋体"/>
          <w:color w:val="auto"/>
          <w:sz w:val="24"/>
          <w:szCs w:val="24"/>
        </w:rPr>
        <w:t>14.3-14.6</w:t>
      </w:r>
      <w:r>
        <w:rPr>
          <w:rFonts w:hint="eastAsia" w:ascii="宋体" w:hAnsi="宋体" w:cs="宋体"/>
          <w:color w:val="auto"/>
          <w:sz w:val="24"/>
          <w:szCs w:val="24"/>
        </w:rPr>
        <w:t>的顺序修正。修正后的报价由法定代表人</w:t>
      </w:r>
      <w:r>
        <w:rPr>
          <w:rFonts w:ascii="宋体" w:hAnsi="宋体" w:cs="宋体"/>
          <w:color w:val="auto"/>
          <w:sz w:val="24"/>
          <w:szCs w:val="24"/>
        </w:rPr>
        <w:t>/</w:t>
      </w:r>
      <w:r>
        <w:rPr>
          <w:rFonts w:hint="eastAsia" w:ascii="宋体" w:hAnsi="宋体" w:cs="宋体"/>
          <w:color w:val="auto"/>
          <w:sz w:val="24"/>
          <w:szCs w:val="24"/>
        </w:rPr>
        <w:t>单位负责人或其授权的代表签字确认后产生约束力，投标人不确认的，投标无效；</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14.8 </w:t>
      </w:r>
      <w:r>
        <w:rPr>
          <w:rFonts w:hint="eastAsia" w:ascii="宋体" w:hAnsi="宋体" w:cs="宋体"/>
          <w:color w:val="auto"/>
          <w:sz w:val="24"/>
          <w:szCs w:val="24"/>
        </w:rPr>
        <w:t>对不同文字文本投标文件的解释发生异议的，以中文文本为准；</w:t>
      </w:r>
    </w:p>
    <w:p>
      <w:pPr>
        <w:widowControl/>
        <w:spacing w:line="480" w:lineRule="exact"/>
        <w:ind w:firstLine="480"/>
        <w:jc w:val="left"/>
        <w:rPr>
          <w:rFonts w:ascii="宋体"/>
          <w:color w:val="auto"/>
          <w:sz w:val="24"/>
          <w:szCs w:val="24"/>
        </w:rPr>
      </w:pPr>
      <w:r>
        <w:rPr>
          <w:rFonts w:ascii="宋体" w:hAnsi="宋体" w:cs="宋体"/>
          <w:color w:val="auto"/>
          <w:sz w:val="24"/>
          <w:szCs w:val="24"/>
        </w:rPr>
        <w:t>14.9</w:t>
      </w:r>
      <w:r>
        <w:rPr>
          <w:rFonts w:hint="eastAsia" w:ascii="宋体" w:hAnsi="宋体" w:cs="宋体"/>
          <w:color w:val="auto"/>
          <w:sz w:val="24"/>
          <w:szCs w:val="24"/>
        </w:rPr>
        <w:t>资格审查：开标结束后，依据法规政策和招标文件的规定，在对投标文件详细评估之前，采购人或采购代理机构将依据投标人提交的投标文件按招标公告第二项所述的资格标准对投标人进行资格审查</w:t>
      </w:r>
      <w:r>
        <w:rPr>
          <w:rFonts w:ascii="宋体" w:hAnsi="宋体" w:cs="宋体"/>
          <w:color w:val="auto"/>
          <w:sz w:val="24"/>
          <w:szCs w:val="24"/>
        </w:rPr>
        <w:t xml:space="preserve">, </w:t>
      </w:r>
      <w:r>
        <w:rPr>
          <w:rFonts w:hint="eastAsia" w:ascii="宋体" w:hAnsi="宋体" w:cs="宋体"/>
          <w:color w:val="auto"/>
          <w:sz w:val="24"/>
          <w:szCs w:val="24"/>
        </w:rPr>
        <w:t>以确定其是否具备投标资格。如果投标人不具备投标资格、不满足招标文件所规定的资格标准或提供资格证明文件不全</w:t>
      </w:r>
      <w:r>
        <w:rPr>
          <w:rFonts w:ascii="宋体" w:hAnsi="宋体" w:cs="宋体"/>
          <w:color w:val="auto"/>
          <w:sz w:val="24"/>
          <w:szCs w:val="24"/>
        </w:rPr>
        <w:t xml:space="preserve">, </w:t>
      </w:r>
      <w:r>
        <w:rPr>
          <w:rFonts w:hint="eastAsia" w:ascii="宋体" w:hAnsi="宋体" w:cs="宋体"/>
          <w:color w:val="auto"/>
          <w:sz w:val="24"/>
          <w:szCs w:val="24"/>
        </w:rPr>
        <w:t>其投标将被作为无效投标，不得参与下一环节的评审。</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采购人及采购代理机构在进行资格性审查的同时，将在“信用中国”网站</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www.creditchina.gov.cn</w:t>
      </w:r>
      <w:r>
        <w:rPr>
          <w:rFonts w:hint="eastAsia" w:ascii="宋体" w:hAnsi="宋体" w:cs="宋体"/>
          <w:color w:val="auto"/>
          <w:sz w:val="24"/>
          <w:szCs w:val="24"/>
        </w:rPr>
        <w:t>）对投标人是否被列入失信被执行人、重大税收违法案件当事人名单、政府采购严重失信行为记录名单情况进行查询，以确定投标人是否具备投标资格。查询结果将以网页打印的形式留存并归档。</w:t>
      </w:r>
    </w:p>
    <w:p>
      <w:pPr>
        <w:spacing w:before="156" w:after="156" w:line="400" w:lineRule="exact"/>
        <w:ind w:firstLine="482"/>
        <w:jc w:val="center"/>
        <w:outlineLvl w:val="1"/>
        <w:rPr>
          <w:rFonts w:hint="eastAsia" w:ascii="宋体" w:hAnsi="宋体" w:cs="宋体"/>
          <w:b/>
          <w:bCs/>
          <w:color w:val="auto"/>
          <w:sz w:val="24"/>
          <w:szCs w:val="24"/>
        </w:rPr>
      </w:pPr>
      <w:bookmarkStart w:id="14" w:name="_Toc130206646"/>
    </w:p>
    <w:p>
      <w:pPr>
        <w:spacing w:before="156" w:after="156" w:line="400" w:lineRule="exact"/>
        <w:ind w:firstLine="482"/>
        <w:jc w:val="center"/>
        <w:outlineLvl w:val="1"/>
        <w:rPr>
          <w:rFonts w:ascii="宋体"/>
          <w:b/>
          <w:bCs/>
          <w:color w:val="auto"/>
          <w:sz w:val="24"/>
          <w:szCs w:val="24"/>
        </w:rPr>
      </w:pPr>
      <w:r>
        <w:rPr>
          <w:rFonts w:hint="eastAsia" w:ascii="宋体" w:hAnsi="宋体" w:cs="宋体"/>
          <w:b/>
          <w:bCs/>
          <w:color w:val="auto"/>
          <w:sz w:val="24"/>
          <w:szCs w:val="24"/>
        </w:rPr>
        <w:t>六、评标</w:t>
      </w:r>
      <w:bookmarkEnd w:id="14"/>
    </w:p>
    <w:p>
      <w:pPr>
        <w:widowControl/>
        <w:spacing w:line="480" w:lineRule="exact"/>
        <w:ind w:firstLine="480"/>
        <w:jc w:val="left"/>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．组建评标委员会</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采购单位根据项目的特点依法组建评标委员会。评标委员会由采购人代表和有关评审专家组成。开标后由评标委员会对投标文件进行审查、质疑、评估和比较。评标委员会完成评标后，应当向采购人提出书面评标报告，推荐</w:t>
      </w:r>
      <w:r>
        <w:rPr>
          <w:rFonts w:ascii="宋体" w:hAnsi="宋体" w:cs="宋体"/>
          <w:color w:val="auto"/>
          <w:sz w:val="24"/>
          <w:szCs w:val="24"/>
        </w:rPr>
        <w:t>1</w:t>
      </w:r>
      <w:r>
        <w:rPr>
          <w:rFonts w:hint="eastAsia" w:ascii="宋体" w:hAnsi="宋体" w:cs="宋体"/>
          <w:color w:val="auto"/>
          <w:sz w:val="24"/>
          <w:szCs w:val="24"/>
        </w:rPr>
        <w:t>名合格的中标候选人。</w:t>
      </w:r>
    </w:p>
    <w:p>
      <w:pPr>
        <w:widowControl/>
        <w:spacing w:line="480" w:lineRule="exact"/>
        <w:ind w:firstLine="480"/>
        <w:jc w:val="left"/>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投标文件的审查</w:t>
      </w:r>
    </w:p>
    <w:p>
      <w:pPr>
        <w:widowControl/>
        <w:spacing w:line="480" w:lineRule="exact"/>
        <w:ind w:firstLine="480"/>
        <w:jc w:val="left"/>
        <w:rPr>
          <w:rFonts w:ascii="宋体"/>
          <w:color w:val="auto"/>
          <w:sz w:val="24"/>
          <w:szCs w:val="24"/>
        </w:rPr>
      </w:pPr>
      <w:r>
        <w:rPr>
          <w:rFonts w:ascii="宋体" w:hAnsi="宋体" w:cs="宋体"/>
          <w:color w:val="auto"/>
          <w:sz w:val="24"/>
          <w:szCs w:val="24"/>
        </w:rPr>
        <w:t>16.1</w:t>
      </w:r>
      <w:r>
        <w:rPr>
          <w:rFonts w:hint="eastAsia" w:ascii="宋体" w:hAnsi="宋体" w:cs="宋体"/>
          <w:color w:val="auto"/>
          <w:sz w:val="24"/>
          <w:szCs w:val="24"/>
        </w:rPr>
        <w:t>对所有投标人的评估，都采用相同的程序和标准。评标过程将严格按照招标文件的要求和条件进行；</w:t>
      </w:r>
    </w:p>
    <w:p>
      <w:pPr>
        <w:widowControl/>
        <w:spacing w:line="480" w:lineRule="exact"/>
        <w:ind w:firstLine="480"/>
        <w:jc w:val="left"/>
        <w:rPr>
          <w:rFonts w:ascii="宋体"/>
          <w:color w:val="auto"/>
          <w:sz w:val="24"/>
          <w:szCs w:val="24"/>
        </w:rPr>
      </w:pPr>
      <w:r>
        <w:rPr>
          <w:rFonts w:ascii="宋体" w:hAnsi="宋体" w:cs="宋体"/>
          <w:color w:val="auto"/>
          <w:sz w:val="24"/>
          <w:szCs w:val="24"/>
        </w:rPr>
        <w:t>16.2</w:t>
      </w:r>
      <w:r>
        <w:rPr>
          <w:rFonts w:hint="eastAsia" w:ascii="宋体" w:hAnsi="宋体" w:cs="宋体"/>
          <w:color w:val="auto"/>
          <w:sz w:val="24"/>
          <w:szCs w:val="24"/>
        </w:rPr>
        <w:t>评标委员会将对投标文件进行检查，以确定投标文件是否完整、有无计算上的错误、文件是否已正确签署等；</w:t>
      </w:r>
    </w:p>
    <w:p>
      <w:pPr>
        <w:widowControl/>
        <w:spacing w:line="480" w:lineRule="exact"/>
        <w:ind w:firstLine="480"/>
        <w:jc w:val="left"/>
        <w:rPr>
          <w:rFonts w:ascii="宋体"/>
          <w:color w:val="auto"/>
          <w:sz w:val="24"/>
          <w:szCs w:val="24"/>
        </w:rPr>
      </w:pPr>
      <w:r>
        <w:rPr>
          <w:rFonts w:ascii="宋体" w:hAnsi="宋体" w:cs="宋体"/>
          <w:color w:val="auto"/>
          <w:sz w:val="24"/>
          <w:szCs w:val="24"/>
        </w:rPr>
        <w:t>16.3</w:t>
      </w:r>
      <w:r>
        <w:rPr>
          <w:rFonts w:hint="eastAsia" w:ascii="宋体" w:hAnsi="宋体" w:cs="宋体"/>
          <w:color w:val="auto"/>
          <w:sz w:val="24"/>
          <w:szCs w:val="24"/>
        </w:rPr>
        <w:t>评标委员会将对确定为实质性响应的投标文件进行进一步评审，看其是否有计算上或累加上的算术错误，修正错误的原则如下：</w:t>
      </w:r>
    </w:p>
    <w:p>
      <w:pPr>
        <w:widowControl/>
        <w:spacing w:line="480" w:lineRule="exact"/>
        <w:ind w:firstLine="480"/>
        <w:jc w:val="left"/>
        <w:rPr>
          <w:rFonts w:ascii="宋体"/>
          <w:color w:val="auto"/>
          <w:sz w:val="24"/>
          <w:szCs w:val="24"/>
        </w:rPr>
      </w:pPr>
      <w:r>
        <w:rPr>
          <w:rFonts w:ascii="宋体" w:hAnsi="宋体" w:cs="宋体"/>
          <w:color w:val="auto"/>
          <w:sz w:val="24"/>
          <w:szCs w:val="24"/>
        </w:rPr>
        <w:t>16.3.1</w:t>
      </w:r>
      <w:r>
        <w:rPr>
          <w:rFonts w:hint="eastAsia" w:ascii="宋体" w:hAnsi="宋体" w:cs="宋体"/>
          <w:color w:val="auto"/>
          <w:sz w:val="24"/>
          <w:szCs w:val="24"/>
        </w:rPr>
        <w:t>如果用数字表示的金额和用文字表示的金额不一致时，应以文字表示的金额为准进行修正；</w:t>
      </w:r>
    </w:p>
    <w:p>
      <w:pPr>
        <w:widowControl/>
        <w:spacing w:line="480" w:lineRule="exact"/>
        <w:ind w:firstLine="480"/>
        <w:jc w:val="left"/>
        <w:rPr>
          <w:rFonts w:ascii="宋体"/>
          <w:color w:val="auto"/>
          <w:sz w:val="24"/>
          <w:szCs w:val="24"/>
        </w:rPr>
      </w:pPr>
      <w:r>
        <w:rPr>
          <w:rFonts w:ascii="宋体" w:hAnsi="宋体" w:cs="宋体"/>
          <w:color w:val="auto"/>
          <w:sz w:val="24"/>
          <w:szCs w:val="24"/>
        </w:rPr>
        <w:t>16.3.2</w:t>
      </w:r>
      <w:r>
        <w:rPr>
          <w:rFonts w:hint="eastAsia" w:ascii="宋体" w:hAnsi="宋体" w:cs="宋体"/>
          <w:color w:val="auto"/>
          <w:sz w:val="24"/>
          <w:szCs w:val="24"/>
        </w:rPr>
        <w:t>当单价与数量的乘积和总价不一致时，以单价为准进行修正。只有在评委会认为单价有明显的小数点错误时，才能以标出的总价为准，并修改单价；</w:t>
      </w:r>
    </w:p>
    <w:p>
      <w:pPr>
        <w:widowControl/>
        <w:spacing w:line="480" w:lineRule="exact"/>
        <w:ind w:firstLine="480"/>
        <w:jc w:val="left"/>
        <w:rPr>
          <w:rFonts w:ascii="宋体"/>
          <w:color w:val="auto"/>
          <w:sz w:val="24"/>
          <w:szCs w:val="24"/>
        </w:rPr>
      </w:pPr>
      <w:r>
        <w:rPr>
          <w:rFonts w:ascii="宋体" w:hAnsi="宋体" w:cs="宋体"/>
          <w:color w:val="auto"/>
          <w:sz w:val="24"/>
          <w:szCs w:val="24"/>
        </w:rPr>
        <w:t>16.3.3</w:t>
      </w:r>
      <w:r>
        <w:rPr>
          <w:rFonts w:hint="eastAsia" w:ascii="宋体" w:hAnsi="宋体" w:cs="宋体"/>
          <w:color w:val="auto"/>
          <w:sz w:val="24"/>
          <w:szCs w:val="24"/>
        </w:rPr>
        <w:t>评标委员会将按上述修正错误的方法调整投标文件中的投标价，调整后的价格应对投标人具有约束力。如果投标人不接受修正后的价格，则其投标将被拒绝；</w:t>
      </w:r>
    </w:p>
    <w:p>
      <w:pPr>
        <w:widowControl/>
        <w:spacing w:line="480" w:lineRule="exact"/>
        <w:ind w:firstLine="480"/>
        <w:jc w:val="left"/>
        <w:rPr>
          <w:rFonts w:ascii="宋体"/>
          <w:color w:val="auto"/>
          <w:sz w:val="24"/>
          <w:szCs w:val="24"/>
        </w:rPr>
      </w:pPr>
      <w:r>
        <w:rPr>
          <w:rFonts w:ascii="宋体" w:hAnsi="宋体" w:cs="宋体"/>
          <w:color w:val="auto"/>
          <w:sz w:val="24"/>
          <w:szCs w:val="24"/>
        </w:rPr>
        <w:t>16.3.4</w:t>
      </w:r>
      <w:r>
        <w:rPr>
          <w:rFonts w:hint="eastAsia" w:ascii="宋体" w:hAnsi="宋体" w:cs="宋体"/>
          <w:color w:val="auto"/>
          <w:sz w:val="24"/>
          <w:szCs w:val="24"/>
        </w:rPr>
        <w:t>评委会将允许修正投标文件中不构成重大偏离的、微小的、非正规的、不一致的或不规则的地方，但这些修改不能影响任何投标人相应的名次排列。</w:t>
      </w:r>
    </w:p>
    <w:p>
      <w:pPr>
        <w:widowControl/>
        <w:spacing w:line="480" w:lineRule="exact"/>
        <w:ind w:firstLine="480"/>
        <w:jc w:val="left"/>
        <w:rPr>
          <w:rFonts w:ascii="宋体"/>
          <w:color w:val="auto"/>
          <w:sz w:val="24"/>
          <w:szCs w:val="24"/>
        </w:rPr>
      </w:pPr>
      <w:r>
        <w:rPr>
          <w:rFonts w:ascii="宋体" w:hAnsi="宋体" w:cs="宋体"/>
          <w:color w:val="auto"/>
          <w:sz w:val="24"/>
          <w:szCs w:val="24"/>
        </w:rPr>
        <w:t>16.4</w:t>
      </w:r>
      <w:r>
        <w:rPr>
          <w:rFonts w:hint="eastAsia" w:ascii="宋体" w:hAnsi="宋体" w:cs="宋体"/>
          <w:color w:val="auto"/>
          <w:sz w:val="24"/>
          <w:szCs w:val="24"/>
        </w:rPr>
        <w:t>符合性检查</w:t>
      </w:r>
    </w:p>
    <w:p>
      <w:pPr>
        <w:widowControl/>
        <w:spacing w:line="480" w:lineRule="exact"/>
        <w:ind w:firstLine="480"/>
        <w:jc w:val="left"/>
        <w:rPr>
          <w:rFonts w:ascii="宋体"/>
          <w:color w:val="auto"/>
          <w:sz w:val="24"/>
          <w:szCs w:val="24"/>
        </w:rPr>
      </w:pPr>
      <w:r>
        <w:rPr>
          <w:rFonts w:ascii="宋体" w:hAnsi="宋体" w:cs="宋体"/>
          <w:color w:val="auto"/>
          <w:sz w:val="24"/>
          <w:szCs w:val="24"/>
        </w:rPr>
        <w:t>16.4.1</w:t>
      </w:r>
      <w:r>
        <w:rPr>
          <w:rFonts w:hint="eastAsia" w:ascii="宋体" w:hAnsi="宋体" w:cs="宋体"/>
          <w:color w:val="auto"/>
          <w:sz w:val="24"/>
          <w:szCs w:val="24"/>
        </w:rPr>
        <w:t>符合性检查：依据招标文件的规定，评标委员会将对通过资格审查的投标文件的有效性、完整性和对招标文件的响应程度进行审查，以确定是否符合对招标文件的实质性要求作出响应。对没有实质性响应的投标文件将不进行评估，其投标被作为无效投标。凡有下列情况之一者，投标文件将被视为未实质性响应招标文件要求。</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）投标人未按照招标文件要求上传电子投标文件的；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）投标人未在规定解密时间内进行解密；</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）投标人在报价时采用选择性报价；</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）投标人不具备招标文件中规定资格要求的；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）投标人的报价超过了采购预算或最高限价的；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）未通过符合性检查的；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）不符合招标文件中规定的其他实质性要求和条件的；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）投标人串通投标；</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9</w:t>
      </w:r>
      <w:r>
        <w:rPr>
          <w:rFonts w:hint="eastAsia" w:ascii="宋体" w:hAnsi="宋体" w:cs="宋体"/>
          <w:color w:val="auto"/>
          <w:sz w:val="24"/>
          <w:szCs w:val="24"/>
        </w:rPr>
        <w:t>）投标文件含有采购人不能接受的附加条件的。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10</w:t>
      </w:r>
      <w:r>
        <w:rPr>
          <w:rFonts w:hint="eastAsia" w:ascii="宋体" w:hAnsi="宋体" w:cs="宋体"/>
          <w:color w:val="auto"/>
          <w:sz w:val="24"/>
          <w:szCs w:val="24"/>
        </w:rPr>
        <w:t>）不符合招标文件中规定的其它实质性条款以及法律法规规定的其他情形（如低于当地最低工资标准）</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）被“信用中国”网站（</w:t>
      </w:r>
      <w:r>
        <w:rPr>
          <w:rFonts w:ascii="宋体" w:hAnsi="宋体" w:cs="宋体"/>
          <w:color w:val="auto"/>
          <w:sz w:val="24"/>
          <w:szCs w:val="24"/>
        </w:rPr>
        <w:t>www.creditchina.gov.cn</w:t>
      </w:r>
      <w:r>
        <w:rPr>
          <w:rFonts w:hint="eastAsia" w:ascii="宋体" w:hAnsi="宋体" w:cs="宋体"/>
          <w:color w:val="auto"/>
          <w:sz w:val="24"/>
          <w:szCs w:val="24"/>
        </w:rPr>
        <w:t>）列入失信被执行人、重大税收违法案件当事人名单、政府采购严重失信行为记录名单</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12</w:t>
      </w:r>
      <w:r>
        <w:rPr>
          <w:rFonts w:hint="eastAsia" w:ascii="宋体" w:hAnsi="宋体" w:cs="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13</w:t>
      </w:r>
      <w:r>
        <w:rPr>
          <w:rFonts w:hint="eastAsia" w:ascii="宋体" w:hAnsi="宋体" w:cs="宋体"/>
          <w:color w:val="auto"/>
          <w:sz w:val="24"/>
          <w:szCs w:val="24"/>
        </w:rPr>
        <w:t>）投标文件未按照招标文件要求加盖电子签章。</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14</w:t>
      </w:r>
      <w:r>
        <w:rPr>
          <w:rFonts w:hint="eastAsia" w:ascii="宋体" w:hAnsi="宋体" w:cs="宋体"/>
          <w:color w:val="auto"/>
          <w:sz w:val="24"/>
          <w:szCs w:val="24"/>
        </w:rPr>
        <w:t>）其他法律、法规及本招标文件规定的属无效投标的情形。</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评标委员会决定投标响应性只根据投标文件本身的内容，而不寻求其他的外部证据。</w:t>
      </w:r>
    </w:p>
    <w:p>
      <w:pPr>
        <w:widowControl/>
        <w:spacing w:line="480" w:lineRule="exact"/>
        <w:ind w:firstLine="480"/>
        <w:jc w:val="left"/>
        <w:rPr>
          <w:rFonts w:ascii="宋体"/>
          <w:color w:val="auto"/>
          <w:sz w:val="24"/>
          <w:szCs w:val="24"/>
        </w:rPr>
      </w:pPr>
      <w:r>
        <w:rPr>
          <w:rFonts w:ascii="宋体" w:hAnsi="宋体" w:cs="宋体"/>
          <w:color w:val="auto"/>
          <w:sz w:val="24"/>
          <w:szCs w:val="24"/>
        </w:rPr>
        <w:t>16.4.2</w:t>
      </w:r>
      <w:r>
        <w:rPr>
          <w:rFonts w:hint="eastAsia" w:ascii="宋体" w:hAnsi="宋体" w:cs="宋体"/>
          <w:color w:val="auto"/>
          <w:sz w:val="24"/>
          <w:szCs w:val="24"/>
        </w:rPr>
        <w:t>、对资格性检查和符合性检查不合格的投标人，将告知其理由。</w:t>
      </w:r>
    </w:p>
    <w:p>
      <w:pPr>
        <w:widowControl/>
        <w:spacing w:line="480" w:lineRule="exact"/>
        <w:ind w:firstLine="480"/>
        <w:jc w:val="left"/>
        <w:rPr>
          <w:rFonts w:ascii="宋体"/>
          <w:color w:val="auto"/>
          <w:sz w:val="24"/>
          <w:szCs w:val="24"/>
        </w:rPr>
      </w:pPr>
      <w:r>
        <w:rPr>
          <w:rFonts w:ascii="宋体" w:hAnsi="宋体" w:cs="宋体"/>
          <w:color w:val="auto"/>
          <w:sz w:val="24"/>
          <w:szCs w:val="24"/>
        </w:rPr>
        <w:t>16.5</w:t>
      </w:r>
      <w:r>
        <w:rPr>
          <w:rFonts w:hint="eastAsia" w:ascii="宋体" w:hAnsi="宋体" w:cs="宋体"/>
          <w:color w:val="auto"/>
          <w:sz w:val="24"/>
          <w:szCs w:val="24"/>
        </w:rPr>
        <w:t>在评审过程中，评标委员会发现投标人有下列情形之一的，可以认定属于串标、围标的行为。具体表现形式如下：</w:t>
      </w:r>
    </w:p>
    <w:p>
      <w:pPr>
        <w:widowControl/>
        <w:spacing w:line="480" w:lineRule="exact"/>
        <w:ind w:firstLine="480"/>
        <w:jc w:val="left"/>
        <w:rPr>
          <w:rFonts w:ascii="宋体"/>
          <w:color w:val="auto"/>
          <w:sz w:val="24"/>
          <w:szCs w:val="24"/>
        </w:rPr>
      </w:pPr>
      <w:r>
        <w:rPr>
          <w:rFonts w:ascii="宋体" w:hAnsi="宋体" w:cs="宋体"/>
          <w:color w:val="auto"/>
          <w:sz w:val="24"/>
          <w:szCs w:val="24"/>
        </w:rPr>
        <w:t>16.5.1</w:t>
      </w:r>
      <w:r>
        <w:rPr>
          <w:rFonts w:hint="eastAsia" w:ascii="宋体" w:hAnsi="宋体" w:cs="宋体"/>
          <w:color w:val="auto"/>
          <w:sz w:val="24"/>
          <w:szCs w:val="24"/>
        </w:rPr>
        <w:t>不同投标人的投标文件异常一致或者投标报价呈规律性差异的；</w:t>
      </w:r>
    </w:p>
    <w:p>
      <w:pPr>
        <w:widowControl/>
        <w:spacing w:line="480" w:lineRule="exact"/>
        <w:ind w:firstLine="480"/>
        <w:jc w:val="left"/>
        <w:rPr>
          <w:rFonts w:ascii="宋体"/>
          <w:color w:val="auto"/>
          <w:sz w:val="24"/>
          <w:szCs w:val="24"/>
        </w:rPr>
      </w:pPr>
      <w:r>
        <w:rPr>
          <w:rFonts w:ascii="宋体" w:hAnsi="宋体" w:cs="宋体"/>
          <w:color w:val="auto"/>
          <w:sz w:val="24"/>
          <w:szCs w:val="24"/>
        </w:rPr>
        <w:t>16.5.2</w:t>
      </w:r>
      <w:r>
        <w:rPr>
          <w:rFonts w:hint="eastAsia" w:ascii="宋体" w:hAnsi="宋体" w:cs="宋体"/>
          <w:color w:val="auto"/>
          <w:sz w:val="24"/>
          <w:szCs w:val="24"/>
        </w:rPr>
        <w:t>不同投标人的投标文件由同一单位或个人编制的；</w:t>
      </w:r>
    </w:p>
    <w:p>
      <w:pPr>
        <w:widowControl/>
        <w:spacing w:line="480" w:lineRule="exact"/>
        <w:ind w:firstLine="480"/>
        <w:jc w:val="left"/>
        <w:rPr>
          <w:rFonts w:ascii="宋体"/>
          <w:color w:val="auto"/>
          <w:sz w:val="24"/>
          <w:szCs w:val="24"/>
        </w:rPr>
      </w:pPr>
      <w:r>
        <w:rPr>
          <w:rFonts w:ascii="宋体" w:hAnsi="宋体" w:cs="宋体"/>
          <w:color w:val="auto"/>
          <w:sz w:val="24"/>
          <w:szCs w:val="24"/>
        </w:rPr>
        <w:t>16.5.3</w:t>
      </w:r>
      <w:r>
        <w:rPr>
          <w:rFonts w:hint="eastAsia" w:ascii="宋体" w:hAnsi="宋体" w:cs="宋体"/>
          <w:color w:val="auto"/>
          <w:sz w:val="24"/>
          <w:szCs w:val="24"/>
        </w:rPr>
        <w:t>不同投标人的投标文件载明的项目管理成员为同一人的；</w:t>
      </w:r>
    </w:p>
    <w:p>
      <w:pPr>
        <w:widowControl/>
        <w:spacing w:line="480" w:lineRule="exact"/>
        <w:ind w:firstLine="480"/>
        <w:jc w:val="left"/>
        <w:rPr>
          <w:rFonts w:ascii="宋体"/>
          <w:color w:val="auto"/>
          <w:sz w:val="24"/>
          <w:szCs w:val="24"/>
        </w:rPr>
      </w:pPr>
      <w:r>
        <w:rPr>
          <w:rFonts w:ascii="宋体" w:hAnsi="宋体" w:cs="宋体"/>
          <w:color w:val="auto"/>
          <w:sz w:val="24"/>
          <w:szCs w:val="24"/>
        </w:rPr>
        <w:t>16.5.4</w:t>
      </w:r>
      <w:r>
        <w:rPr>
          <w:rFonts w:hint="eastAsia" w:ascii="宋体" w:hAnsi="宋体" w:cs="宋体"/>
          <w:color w:val="auto"/>
          <w:sz w:val="24"/>
          <w:szCs w:val="24"/>
        </w:rPr>
        <w:t>不同投标人的投标文件相互混装的；</w:t>
      </w:r>
    </w:p>
    <w:p>
      <w:pPr>
        <w:widowControl/>
        <w:spacing w:line="480" w:lineRule="exact"/>
        <w:ind w:firstLine="480"/>
        <w:jc w:val="left"/>
        <w:rPr>
          <w:rFonts w:ascii="宋体"/>
          <w:color w:val="auto"/>
          <w:sz w:val="24"/>
          <w:szCs w:val="24"/>
        </w:rPr>
      </w:pPr>
      <w:r>
        <w:rPr>
          <w:rFonts w:ascii="宋体" w:hAnsi="宋体" w:cs="宋体"/>
          <w:color w:val="auto"/>
          <w:sz w:val="24"/>
          <w:szCs w:val="24"/>
        </w:rPr>
        <w:t>16.5.5</w:t>
      </w:r>
      <w:r>
        <w:rPr>
          <w:rFonts w:hint="eastAsia" w:ascii="宋体" w:hAnsi="宋体" w:cs="宋体"/>
          <w:color w:val="auto"/>
          <w:sz w:val="24"/>
          <w:szCs w:val="24"/>
        </w:rPr>
        <w:t>不同投标人授权同一人作为投标人代表的；</w:t>
      </w:r>
    </w:p>
    <w:p>
      <w:pPr>
        <w:widowControl/>
        <w:spacing w:line="480" w:lineRule="exact"/>
        <w:ind w:firstLine="480"/>
        <w:jc w:val="left"/>
        <w:rPr>
          <w:rFonts w:ascii="宋体"/>
          <w:color w:val="auto"/>
          <w:sz w:val="24"/>
          <w:szCs w:val="24"/>
        </w:rPr>
      </w:pPr>
      <w:r>
        <w:rPr>
          <w:rFonts w:ascii="宋体" w:hAnsi="宋体" w:cs="宋体"/>
          <w:color w:val="auto"/>
          <w:sz w:val="24"/>
          <w:szCs w:val="24"/>
        </w:rPr>
        <w:t>16.5.6</w:t>
      </w:r>
      <w:r>
        <w:rPr>
          <w:rFonts w:hint="eastAsia" w:ascii="宋体" w:hAnsi="宋体" w:cs="宋体"/>
          <w:color w:val="auto"/>
          <w:sz w:val="24"/>
          <w:szCs w:val="24"/>
        </w:rPr>
        <w:t>不同投标人的投标保证金从同一单位或者个人的账户转出的；</w:t>
      </w:r>
    </w:p>
    <w:p>
      <w:pPr>
        <w:widowControl/>
        <w:spacing w:line="480" w:lineRule="exact"/>
        <w:ind w:firstLine="480"/>
        <w:jc w:val="left"/>
        <w:rPr>
          <w:rFonts w:ascii="宋体"/>
          <w:color w:val="auto"/>
          <w:sz w:val="24"/>
          <w:szCs w:val="24"/>
        </w:rPr>
      </w:pPr>
      <w:r>
        <w:rPr>
          <w:rFonts w:ascii="宋体" w:hAnsi="宋体" w:cs="宋体"/>
          <w:color w:val="auto"/>
          <w:sz w:val="24"/>
          <w:szCs w:val="24"/>
        </w:rPr>
        <w:t>16.5.7</w:t>
      </w:r>
      <w:r>
        <w:rPr>
          <w:rFonts w:hint="eastAsia" w:ascii="宋体" w:hAnsi="宋体" w:cs="宋体"/>
          <w:color w:val="auto"/>
          <w:spacing w:val="-4"/>
          <w:sz w:val="24"/>
          <w:szCs w:val="24"/>
        </w:rPr>
        <w:t>有证据证明投标人与采购单位、采购代理机构或其他投标人串通的其他情形的</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ascii="宋体" w:hAnsi="宋体" w:cs="宋体"/>
          <w:color w:val="auto"/>
          <w:sz w:val="24"/>
          <w:szCs w:val="24"/>
        </w:rPr>
        <w:t>16.5.8</w:t>
      </w:r>
      <w:r>
        <w:rPr>
          <w:rFonts w:hint="eastAsia" w:ascii="宋体" w:hAnsi="宋体" w:cs="宋体"/>
          <w:color w:val="auto"/>
          <w:sz w:val="24"/>
          <w:szCs w:val="24"/>
        </w:rPr>
        <w:t>评标委员会认定的其他串标、围标情形。</w:t>
      </w:r>
    </w:p>
    <w:p>
      <w:pPr>
        <w:widowControl/>
        <w:spacing w:line="480" w:lineRule="exact"/>
        <w:ind w:firstLine="480"/>
        <w:jc w:val="left"/>
        <w:rPr>
          <w:rFonts w:ascii="宋体"/>
          <w:color w:val="auto"/>
          <w:sz w:val="24"/>
          <w:szCs w:val="24"/>
        </w:rPr>
      </w:pPr>
      <w:r>
        <w:rPr>
          <w:rFonts w:ascii="宋体" w:hAnsi="宋体" w:cs="宋体"/>
          <w:color w:val="auto"/>
          <w:sz w:val="24"/>
          <w:szCs w:val="24"/>
        </w:rPr>
        <w:t>16.6</w:t>
      </w:r>
      <w:r>
        <w:rPr>
          <w:rFonts w:hint="eastAsia" w:ascii="宋体" w:hAnsi="宋体" w:cs="宋体"/>
          <w:color w:val="auto"/>
          <w:sz w:val="24"/>
          <w:szCs w:val="24"/>
        </w:rPr>
        <w:t>有下列情形之一的予以废标，同时将废标理由通知所有服务单位：</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pacing w:val="-4"/>
          <w:sz w:val="24"/>
          <w:szCs w:val="24"/>
        </w:rPr>
        <w:t>符合专业条件的服务单位或者对招标文件作实质性响应的服务单位不足三家的</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）出现影响采购公正的违法、违规行为的；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）服务单位的报价均超过了采购预算或最高限价的，采购人不能支付的；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）因重大变故，采购任务取消的；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）投标文件存在歧义、重大缺陷，或者招标文件内容违反国家有关强制性规定的。</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17. </w:t>
      </w:r>
      <w:r>
        <w:rPr>
          <w:rFonts w:hint="eastAsia" w:ascii="宋体" w:hAnsi="宋体" w:cs="宋体"/>
          <w:color w:val="auto"/>
          <w:sz w:val="24"/>
          <w:szCs w:val="24"/>
        </w:rPr>
        <w:t>比较与评价</w:t>
      </w:r>
    </w:p>
    <w:p>
      <w:pPr>
        <w:widowControl/>
        <w:spacing w:line="480" w:lineRule="exact"/>
        <w:ind w:firstLine="480"/>
        <w:jc w:val="left"/>
        <w:rPr>
          <w:rFonts w:ascii="宋体"/>
          <w:color w:val="auto"/>
          <w:sz w:val="24"/>
          <w:szCs w:val="24"/>
        </w:rPr>
      </w:pPr>
      <w:r>
        <w:rPr>
          <w:rFonts w:ascii="宋体" w:hAnsi="宋体" w:cs="宋体"/>
          <w:color w:val="auto"/>
          <w:sz w:val="24"/>
          <w:szCs w:val="24"/>
        </w:rPr>
        <w:t>17.1</w:t>
      </w:r>
      <w:r>
        <w:rPr>
          <w:rFonts w:hint="eastAsia" w:ascii="宋体" w:hAnsi="宋体" w:cs="宋体"/>
          <w:color w:val="auto"/>
          <w:sz w:val="24"/>
          <w:szCs w:val="24"/>
        </w:rPr>
        <w:t>评标委员会将按本招标文件规定的评标方法与标准，对资格性检查和符合性检查合格的投标文件进行商务和技术评估，综合比较与评价；</w:t>
      </w:r>
    </w:p>
    <w:p>
      <w:pPr>
        <w:widowControl/>
        <w:spacing w:line="480" w:lineRule="exact"/>
        <w:ind w:firstLine="480"/>
        <w:jc w:val="left"/>
        <w:rPr>
          <w:rFonts w:ascii="宋体"/>
          <w:color w:val="auto"/>
          <w:sz w:val="24"/>
          <w:szCs w:val="24"/>
        </w:rPr>
      </w:pPr>
      <w:r>
        <w:rPr>
          <w:rFonts w:ascii="宋体" w:hAnsi="宋体" w:cs="宋体"/>
          <w:color w:val="auto"/>
          <w:sz w:val="24"/>
          <w:szCs w:val="24"/>
        </w:rPr>
        <w:t>17.2</w:t>
      </w:r>
      <w:r>
        <w:rPr>
          <w:rFonts w:hint="eastAsia" w:ascii="宋体" w:hAnsi="宋体" w:cs="宋体"/>
          <w:color w:val="auto"/>
          <w:sz w:val="24"/>
          <w:szCs w:val="24"/>
        </w:rPr>
        <w:t>对漏（缺）报项的处理：招标文件中要求列入报价的费用（含配置、功能），漏（缺）报的视同已含在投标总价中。对多报项及赠送项的价格评标时不予核减，全部进入评标评议。</w:t>
      </w:r>
    </w:p>
    <w:p>
      <w:pPr>
        <w:widowControl/>
        <w:spacing w:line="480" w:lineRule="exact"/>
        <w:ind w:firstLine="480"/>
        <w:jc w:val="left"/>
        <w:rPr>
          <w:rFonts w:ascii="宋体"/>
          <w:color w:val="auto"/>
          <w:sz w:val="24"/>
          <w:szCs w:val="24"/>
        </w:rPr>
      </w:pPr>
      <w:r>
        <w:rPr>
          <w:rFonts w:ascii="宋体" w:hAnsi="宋体" w:cs="宋体"/>
          <w:color w:val="auto"/>
          <w:sz w:val="24"/>
          <w:szCs w:val="24"/>
        </w:rPr>
        <w:t>18</w:t>
      </w:r>
      <w:r>
        <w:rPr>
          <w:rFonts w:hint="eastAsia" w:ascii="宋体" w:hAnsi="宋体" w:cs="宋体"/>
          <w:color w:val="auto"/>
          <w:sz w:val="24"/>
          <w:szCs w:val="24"/>
        </w:rPr>
        <w:t>．评标过程及保密原则</w:t>
      </w:r>
    </w:p>
    <w:p>
      <w:pPr>
        <w:widowControl/>
        <w:spacing w:line="480" w:lineRule="exact"/>
        <w:ind w:firstLine="480"/>
        <w:jc w:val="left"/>
        <w:rPr>
          <w:rFonts w:ascii="宋体"/>
          <w:color w:val="auto"/>
          <w:sz w:val="24"/>
          <w:szCs w:val="24"/>
        </w:rPr>
      </w:pPr>
      <w:r>
        <w:rPr>
          <w:rFonts w:ascii="宋体" w:hAnsi="宋体" w:cs="宋体"/>
          <w:color w:val="auto"/>
          <w:sz w:val="24"/>
          <w:szCs w:val="24"/>
        </w:rPr>
        <w:t>18.1</w:t>
      </w:r>
      <w:r>
        <w:rPr>
          <w:rFonts w:hint="eastAsia" w:ascii="宋体" w:hAnsi="宋体" w:cs="宋体"/>
          <w:color w:val="auto"/>
          <w:sz w:val="24"/>
          <w:szCs w:val="24"/>
        </w:rPr>
        <w:t>凡与本次招标有关人员对属于审查、澄清、评价和比较投标的有关资料以及定标意向等，均不得向投标人或其他人员透露。否则</w:t>
      </w:r>
      <w:r>
        <w:rPr>
          <w:rFonts w:ascii="宋体" w:cs="宋体"/>
          <w:color w:val="auto"/>
          <w:sz w:val="24"/>
          <w:szCs w:val="24"/>
        </w:rPr>
        <w:t>,</w:t>
      </w:r>
      <w:r>
        <w:rPr>
          <w:rFonts w:hint="eastAsia" w:ascii="宋体" w:hAnsi="宋体" w:cs="宋体"/>
          <w:color w:val="auto"/>
          <w:sz w:val="24"/>
          <w:szCs w:val="24"/>
        </w:rPr>
        <w:t>将按有关规定追究相关人员的责任；</w:t>
      </w:r>
    </w:p>
    <w:p>
      <w:pPr>
        <w:widowControl/>
        <w:spacing w:line="480" w:lineRule="exact"/>
        <w:ind w:firstLine="480"/>
        <w:jc w:val="left"/>
        <w:rPr>
          <w:rFonts w:ascii="宋体"/>
          <w:color w:val="auto"/>
          <w:sz w:val="24"/>
          <w:szCs w:val="24"/>
        </w:rPr>
      </w:pPr>
      <w:r>
        <w:rPr>
          <w:rFonts w:ascii="宋体" w:hAnsi="宋体" w:cs="宋体"/>
          <w:color w:val="auto"/>
          <w:sz w:val="24"/>
          <w:szCs w:val="24"/>
        </w:rPr>
        <w:t>18.2</w:t>
      </w:r>
      <w:r>
        <w:rPr>
          <w:rFonts w:hint="eastAsia" w:ascii="宋体" w:hAnsi="宋体" w:cs="宋体"/>
          <w:color w:val="auto"/>
          <w:sz w:val="24"/>
          <w:szCs w:val="24"/>
        </w:rPr>
        <w:t>在评标期间，投标人试图影响或干预评审的任何行为，将导致其投标被作为无效投标，并承担相应的法律责任。</w:t>
      </w:r>
    </w:p>
    <w:p>
      <w:pPr>
        <w:spacing w:before="156" w:after="156" w:line="400" w:lineRule="exact"/>
        <w:ind w:firstLine="482"/>
        <w:jc w:val="center"/>
        <w:outlineLvl w:val="1"/>
        <w:rPr>
          <w:rFonts w:ascii="宋体"/>
          <w:b/>
          <w:bCs/>
          <w:color w:val="auto"/>
          <w:sz w:val="24"/>
          <w:szCs w:val="24"/>
        </w:rPr>
      </w:pPr>
      <w:bookmarkStart w:id="15" w:name="_Toc130206647"/>
      <w:r>
        <w:rPr>
          <w:rFonts w:hint="eastAsia" w:ascii="宋体" w:hAnsi="宋体" w:cs="宋体"/>
          <w:b/>
          <w:bCs/>
          <w:color w:val="auto"/>
          <w:sz w:val="24"/>
          <w:szCs w:val="24"/>
        </w:rPr>
        <w:t>七、定标</w:t>
      </w:r>
      <w:bookmarkEnd w:id="15"/>
    </w:p>
    <w:p>
      <w:pPr>
        <w:widowControl/>
        <w:spacing w:line="480" w:lineRule="exact"/>
        <w:ind w:firstLine="480"/>
        <w:jc w:val="left"/>
        <w:rPr>
          <w:rFonts w:ascii="宋体"/>
          <w:color w:val="auto"/>
          <w:sz w:val="24"/>
          <w:szCs w:val="24"/>
        </w:rPr>
      </w:pPr>
      <w:r>
        <w:rPr>
          <w:rFonts w:ascii="宋体" w:hAnsi="宋体" w:cs="宋体"/>
          <w:color w:val="auto"/>
          <w:sz w:val="24"/>
          <w:szCs w:val="24"/>
        </w:rPr>
        <w:t>19.</w:t>
      </w:r>
      <w:r>
        <w:rPr>
          <w:rFonts w:hint="eastAsia" w:ascii="宋体" w:hAnsi="宋体" w:cs="宋体"/>
          <w:color w:val="auto"/>
          <w:sz w:val="24"/>
          <w:szCs w:val="24"/>
        </w:rPr>
        <w:t>定标原则</w:t>
      </w:r>
    </w:p>
    <w:p>
      <w:pPr>
        <w:widowControl/>
        <w:spacing w:line="480" w:lineRule="exact"/>
        <w:ind w:firstLine="480"/>
        <w:jc w:val="left"/>
        <w:rPr>
          <w:rFonts w:ascii="宋体"/>
          <w:color w:val="auto"/>
          <w:sz w:val="24"/>
          <w:szCs w:val="24"/>
        </w:rPr>
      </w:pPr>
      <w:r>
        <w:rPr>
          <w:rFonts w:ascii="宋体" w:hAnsi="宋体" w:cs="宋体"/>
          <w:color w:val="auto"/>
          <w:sz w:val="24"/>
          <w:szCs w:val="24"/>
        </w:rPr>
        <w:t>19.1</w:t>
      </w:r>
      <w:r>
        <w:rPr>
          <w:rFonts w:hint="eastAsia" w:ascii="宋体" w:hAnsi="宋体" w:cs="宋体"/>
          <w:color w:val="auto"/>
          <w:sz w:val="24"/>
          <w:szCs w:val="24"/>
        </w:rPr>
        <w:t>最低投标价不作为中标的保证；</w:t>
      </w:r>
    </w:p>
    <w:p>
      <w:pPr>
        <w:widowControl/>
        <w:spacing w:line="480" w:lineRule="exact"/>
        <w:ind w:firstLine="480"/>
        <w:jc w:val="left"/>
        <w:rPr>
          <w:rFonts w:ascii="宋体"/>
          <w:color w:val="auto"/>
          <w:sz w:val="24"/>
          <w:szCs w:val="24"/>
        </w:rPr>
      </w:pPr>
      <w:r>
        <w:rPr>
          <w:rFonts w:ascii="宋体" w:hAnsi="宋体" w:cs="宋体"/>
          <w:color w:val="auto"/>
          <w:sz w:val="24"/>
          <w:szCs w:val="24"/>
        </w:rPr>
        <w:t>19.2</w:t>
      </w:r>
      <w:r>
        <w:rPr>
          <w:rFonts w:hint="eastAsia" w:ascii="宋体" w:hAnsi="宋体" w:cs="宋体"/>
          <w:color w:val="auto"/>
          <w:sz w:val="24"/>
          <w:szCs w:val="24"/>
        </w:rPr>
        <w:t>本次招标评标方法为综合评分法；</w:t>
      </w:r>
    </w:p>
    <w:p>
      <w:pPr>
        <w:widowControl/>
        <w:spacing w:line="480" w:lineRule="exact"/>
        <w:ind w:firstLine="472"/>
        <w:jc w:val="left"/>
        <w:rPr>
          <w:rFonts w:ascii="宋体"/>
          <w:color w:val="auto"/>
          <w:sz w:val="24"/>
          <w:szCs w:val="24"/>
        </w:rPr>
      </w:pPr>
      <w:r>
        <w:rPr>
          <w:rFonts w:hint="eastAsia" w:ascii="宋体" w:hAnsi="宋体" w:cs="宋体"/>
          <w:color w:val="auto"/>
          <w:spacing w:val="-2"/>
          <w:sz w:val="24"/>
          <w:szCs w:val="24"/>
        </w:rPr>
        <w:t>投标文件满足招标文件全部实质性要求且按照评审因素的量化指标评审得分最高的供应商为中标候选人的评标方法。按评审后的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sz w:val="24"/>
          <w:szCs w:val="24"/>
        </w:rPr>
        <w:t>；</w:t>
      </w:r>
    </w:p>
    <w:p>
      <w:pPr>
        <w:widowControl/>
        <w:spacing w:line="480" w:lineRule="exact"/>
        <w:ind w:firstLine="480"/>
        <w:jc w:val="left"/>
        <w:rPr>
          <w:rFonts w:ascii="宋体"/>
          <w:b/>
          <w:bCs/>
          <w:color w:val="auto"/>
          <w:sz w:val="24"/>
          <w:szCs w:val="24"/>
        </w:rPr>
      </w:pPr>
      <w:r>
        <w:rPr>
          <w:rFonts w:hint="eastAsia" w:ascii="宋体" w:hAnsi="宋体" w:cs="宋体"/>
          <w:b/>
          <w:bCs/>
          <w:color w:val="auto"/>
          <w:sz w:val="24"/>
          <w:szCs w:val="24"/>
        </w:rPr>
        <w:t>本项目提供相同品牌核心产品（清单第</w:t>
      </w:r>
      <w:r>
        <w:rPr>
          <w:rFonts w:ascii="宋体" w:hAnsi="宋体" w:cs="宋体"/>
          <w:b/>
          <w:bCs/>
          <w:color w:val="auto"/>
          <w:sz w:val="24"/>
          <w:szCs w:val="24"/>
        </w:rPr>
        <w:t>16</w:t>
      </w:r>
      <w:r>
        <w:rPr>
          <w:rFonts w:hint="eastAsia" w:ascii="宋体" w:hAnsi="宋体" w:cs="宋体"/>
          <w:b/>
          <w:bCs/>
          <w:color w:val="auto"/>
          <w:sz w:val="24"/>
          <w:szCs w:val="24"/>
        </w:rPr>
        <w:t>项：控制主机）且通过资格审查、符合性审查的不同投标人按一家投标人计算，评审后得分最高的同品牌投标人获得中标人推荐资格；评审得分相同的，按投标报价由低到高排列；得分且投标报价相同的并列，投标文件满足招标文件全部实质性要求，且按照评审因素的量化指标评审得分最高得投标人为排名第一的中标候选人。</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19.3 </w:t>
      </w:r>
      <w:r>
        <w:rPr>
          <w:rFonts w:hint="eastAsia" w:ascii="宋体" w:hAnsi="宋体" w:cs="宋体"/>
          <w:color w:val="auto"/>
          <w:sz w:val="24"/>
          <w:szCs w:val="24"/>
        </w:rPr>
        <w:t>推荐的中标候选人数：</w:t>
      </w:r>
      <w:r>
        <w:rPr>
          <w:rFonts w:ascii="宋体" w:hAnsi="宋体" w:cs="宋体"/>
          <w:color w:val="auto"/>
          <w:sz w:val="24"/>
          <w:szCs w:val="24"/>
        </w:rPr>
        <w:t>1</w:t>
      </w:r>
      <w:r>
        <w:rPr>
          <w:rFonts w:hint="eastAsia" w:ascii="宋体" w:hAnsi="宋体" w:cs="宋体"/>
          <w:color w:val="auto"/>
          <w:sz w:val="24"/>
          <w:szCs w:val="24"/>
        </w:rPr>
        <w:t>名。排名第一的中标候选人放弃中标，或因不可抗力提出不能履行合同，或者被查实存在影响中标结果的违法行为等情形，不符合中标条件的，本项目直接重新招标，不得确定其他投标人为中标人。</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20. </w:t>
      </w:r>
      <w:r>
        <w:rPr>
          <w:rFonts w:hint="eastAsia" w:ascii="宋体" w:hAnsi="宋体" w:cs="宋体"/>
          <w:color w:val="auto"/>
          <w:sz w:val="24"/>
          <w:szCs w:val="24"/>
        </w:rPr>
        <w:t>确定中标供应商</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采购人将根据评标委员会的书面评标报告，依据法律法规确定中标人。采购人不得在评标委员会推荐的中标候选人之外确定中标人，否则中标结果无效。</w:t>
      </w:r>
    </w:p>
    <w:p>
      <w:pPr>
        <w:widowControl/>
        <w:spacing w:line="480" w:lineRule="exact"/>
        <w:ind w:firstLine="480"/>
        <w:jc w:val="left"/>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中标通知书和签订合同</w:t>
      </w:r>
    </w:p>
    <w:p>
      <w:pPr>
        <w:widowControl/>
        <w:spacing w:line="480" w:lineRule="exact"/>
        <w:ind w:firstLine="480"/>
        <w:jc w:val="left"/>
        <w:rPr>
          <w:rFonts w:ascii="宋体"/>
          <w:color w:val="auto"/>
          <w:sz w:val="24"/>
          <w:szCs w:val="24"/>
        </w:rPr>
      </w:pPr>
      <w:r>
        <w:rPr>
          <w:rFonts w:ascii="宋体" w:hAnsi="宋体" w:cs="宋体"/>
          <w:color w:val="auto"/>
          <w:sz w:val="24"/>
          <w:szCs w:val="24"/>
        </w:rPr>
        <w:t>21.1</w:t>
      </w:r>
      <w:r>
        <w:rPr>
          <w:rFonts w:hint="eastAsia" w:ascii="宋体" w:hAnsi="宋体" w:cs="宋体"/>
          <w:color w:val="auto"/>
          <w:sz w:val="24"/>
          <w:szCs w:val="24"/>
        </w:rPr>
        <w:t>评审结束后，中标公告在江苏政府采购网、盐城市政府采购网、建湖县公共资源交易电子化服务平台网</w:t>
      </w:r>
      <w:r>
        <w:rPr>
          <w:color w:val="auto"/>
          <w:u w:val="none"/>
        </w:rPr>
        <w:t>http://zhumadian.hngp.gov.cn/prx/000/http/www.sxztb.gov.cn/</w:t>
      </w:r>
      <w:r>
        <w:rPr>
          <w:rFonts w:hint="eastAsia" w:ascii="宋体" w:hAnsi="宋体" w:cs="宋体"/>
          <w:color w:val="auto"/>
          <w:sz w:val="24"/>
          <w:szCs w:val="24"/>
        </w:rPr>
        <w:t>等相关媒体发布；公示结束向中标供应商发出中标通知书。中标通知书成为合同文件的组成部分，具有法律效力；</w:t>
      </w:r>
    </w:p>
    <w:p>
      <w:pPr>
        <w:widowControl/>
        <w:spacing w:line="480" w:lineRule="exact"/>
        <w:ind w:firstLine="480"/>
        <w:jc w:val="left"/>
        <w:rPr>
          <w:rFonts w:ascii="宋体"/>
          <w:color w:val="auto"/>
          <w:sz w:val="24"/>
          <w:szCs w:val="24"/>
        </w:rPr>
      </w:pPr>
      <w:r>
        <w:rPr>
          <w:rFonts w:ascii="宋体" w:hAnsi="宋体" w:cs="宋体"/>
          <w:color w:val="auto"/>
          <w:sz w:val="24"/>
          <w:szCs w:val="24"/>
        </w:rPr>
        <w:t>21.2</w:t>
      </w:r>
      <w:r>
        <w:rPr>
          <w:rFonts w:hint="eastAsia" w:ascii="宋体" w:hAnsi="宋体" w:cs="宋体"/>
          <w:color w:val="auto"/>
          <w:sz w:val="24"/>
          <w:szCs w:val="24"/>
        </w:rPr>
        <w:t>中标供应商在规定的时间内不领取中标通知书的，视为中标后自动放弃中标资格，承担由此引起的一切后果；</w:t>
      </w:r>
    </w:p>
    <w:p>
      <w:pPr>
        <w:widowControl/>
        <w:spacing w:line="480" w:lineRule="exact"/>
        <w:ind w:firstLine="480"/>
        <w:jc w:val="left"/>
        <w:rPr>
          <w:rFonts w:ascii="宋体"/>
          <w:color w:val="auto"/>
          <w:sz w:val="24"/>
          <w:szCs w:val="24"/>
        </w:rPr>
      </w:pPr>
      <w:r>
        <w:rPr>
          <w:rFonts w:ascii="宋体" w:hAnsi="宋体" w:cs="宋体"/>
          <w:color w:val="auto"/>
          <w:sz w:val="24"/>
          <w:szCs w:val="24"/>
        </w:rPr>
        <w:t>21.3</w:t>
      </w:r>
      <w:r>
        <w:rPr>
          <w:rFonts w:hint="eastAsia" w:ascii="宋体" w:hAnsi="宋体" w:cs="宋体"/>
          <w:color w:val="auto"/>
          <w:sz w:val="24"/>
          <w:szCs w:val="24"/>
        </w:rPr>
        <w:t>政府采购项目的采购合同自签订之日起七个工作日内，采购人应当将合同副本报同级政府采购监督管理部门和有关部门备案；</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21.4 </w:t>
      </w:r>
      <w:r>
        <w:rPr>
          <w:rFonts w:hint="eastAsia" w:ascii="宋体" w:hAnsi="宋体" w:cs="宋体"/>
          <w:color w:val="auto"/>
          <w:sz w:val="24"/>
          <w:szCs w:val="24"/>
        </w:rPr>
        <w:t>采购单位与中标供应商应当在《中标通知书》发出之日起三十日内，按采购文件确定的事情签订政府采购合同，合同在签订之日</w:t>
      </w:r>
      <w:r>
        <w:rPr>
          <w:rFonts w:ascii="宋体" w:hAnsi="宋体" w:cs="宋体"/>
          <w:color w:val="auto"/>
          <w:sz w:val="24"/>
          <w:szCs w:val="24"/>
        </w:rPr>
        <w:t>2</w:t>
      </w:r>
      <w:r>
        <w:rPr>
          <w:rFonts w:hint="eastAsia" w:ascii="宋体" w:hAnsi="宋体" w:cs="宋体"/>
          <w:color w:val="auto"/>
          <w:sz w:val="24"/>
          <w:szCs w:val="24"/>
        </w:rPr>
        <w:t>个工作日内在盐城市政府采购网</w:t>
      </w:r>
      <w:r>
        <w:rPr>
          <w:rFonts w:ascii="宋体" w:hAnsi="宋体" w:cs="宋体"/>
          <w:color w:val="auto"/>
          <w:sz w:val="24"/>
          <w:szCs w:val="24"/>
        </w:rPr>
        <w:t>http://czj.yancheng.gov.cn/col/col2383/index.html</w:t>
      </w:r>
      <w:r>
        <w:rPr>
          <w:rFonts w:hint="eastAsia" w:ascii="宋体" w:hAnsi="宋体" w:cs="宋体"/>
          <w:color w:val="auto"/>
          <w:sz w:val="24"/>
          <w:szCs w:val="24"/>
        </w:rPr>
        <w:t>上公示；</w:t>
      </w:r>
    </w:p>
    <w:p>
      <w:pPr>
        <w:widowControl/>
        <w:spacing w:line="480" w:lineRule="exact"/>
        <w:ind w:firstLine="480"/>
        <w:jc w:val="left"/>
        <w:rPr>
          <w:rFonts w:ascii="宋体"/>
          <w:color w:val="auto"/>
          <w:sz w:val="24"/>
          <w:szCs w:val="24"/>
        </w:rPr>
      </w:pPr>
      <w:r>
        <w:rPr>
          <w:rFonts w:ascii="宋体" w:hAnsi="宋体" w:cs="宋体"/>
          <w:color w:val="auto"/>
          <w:sz w:val="24"/>
          <w:szCs w:val="24"/>
        </w:rPr>
        <w:t>21.5</w:t>
      </w:r>
      <w:r>
        <w:rPr>
          <w:rFonts w:hint="eastAsia" w:ascii="宋体" w:hAnsi="宋体" w:cs="宋体"/>
          <w:color w:val="auto"/>
          <w:sz w:val="24"/>
          <w:szCs w:val="24"/>
        </w:rPr>
        <w:t>中标单位如果未按中标通知书规定日期与采购单位签订合同，或要求更改招标文件内容而拖延合同签订，按照政府采购法相关法律法规执行。</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 </w:t>
      </w:r>
      <w:r>
        <w:rPr>
          <w:rFonts w:hint="eastAsia" w:ascii="宋体" w:hAnsi="宋体" w:cs="宋体"/>
          <w:color w:val="auto"/>
          <w:sz w:val="24"/>
          <w:szCs w:val="24"/>
        </w:rPr>
        <w:t>质疑和投诉</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22.1 </w:t>
      </w:r>
      <w:r>
        <w:rPr>
          <w:rFonts w:hint="eastAsia" w:ascii="宋体" w:hAnsi="宋体" w:cs="宋体"/>
          <w:color w:val="auto"/>
          <w:sz w:val="24"/>
          <w:szCs w:val="24"/>
        </w:rPr>
        <w:t>质疑供应商是指直接参加本次投标活动的供应商，未参加投标活动的供应商或在投标活动中自身权益未受到损害的供应商所提出的质疑不予受理；</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22.2 </w:t>
      </w:r>
      <w:r>
        <w:rPr>
          <w:rFonts w:hint="eastAsia" w:ascii="宋体" w:hAnsi="宋体" w:cs="宋体"/>
          <w:color w:val="auto"/>
          <w:sz w:val="24"/>
          <w:szCs w:val="24"/>
        </w:rPr>
        <w:t>质疑供应商必须以书面形式向采购人、采购代理机构提出质疑。；</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22.3 </w:t>
      </w:r>
      <w:r>
        <w:rPr>
          <w:rFonts w:hint="eastAsia" w:ascii="宋体" w:hAnsi="宋体" w:cs="宋体"/>
          <w:color w:val="auto"/>
          <w:sz w:val="24"/>
          <w:szCs w:val="24"/>
        </w:rPr>
        <w:t>质疑函应包括以下主要内容，并按照“谁主张、谁举证”的原则，附上必要的证明材料（证明材料中如涉及到产品功能或技术指标的，应出具相关制造商的证明文件），否则，代理公司或采购人不予受理。质疑函应当包括下列内容：</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）供应商的姓名或者名称、地址、邮编、联系人及联系电话；</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）质疑项目的名称、编号；</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）具体、明确的质疑事项和与质疑事项相关的请求；</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）事实依据；</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）必要的法律依据；</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）提出质疑的日期。</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22.4 </w:t>
      </w:r>
      <w:r>
        <w:rPr>
          <w:rFonts w:hint="eastAsia" w:ascii="宋体" w:hAnsi="宋体" w:cs="宋体"/>
          <w:color w:val="auto"/>
          <w:sz w:val="24"/>
          <w:szCs w:val="24"/>
        </w:rPr>
        <w:t>采购人或代理机构在收到供应商的书面质疑后将及时组织调查核实，在七个工作日内作出答复，并以书面形式通知质疑供应商，答复的内容不涉及商业秘密；</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22.5 </w:t>
      </w:r>
      <w:r>
        <w:rPr>
          <w:rFonts w:hint="eastAsia" w:ascii="宋体" w:hAnsi="宋体" w:cs="宋体"/>
          <w:color w:val="auto"/>
          <w:sz w:val="24"/>
          <w:szCs w:val="24"/>
        </w:rPr>
        <w:t>投标人认为招标文件内容违法或不当的，应当在招标文件规定的截止时间前提出异议；认为开标活动违法的，应当在开标现场提出异议；对采购单位（采购代理机构）答复不满意或采购单位（采购代理机构）在规定时间内未予答复的，投标人可向建湖县财政局投诉。</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22.6 </w:t>
      </w:r>
      <w:r>
        <w:rPr>
          <w:rFonts w:hint="eastAsia" w:ascii="宋体" w:hAnsi="宋体" w:cs="宋体"/>
          <w:color w:val="auto"/>
          <w:sz w:val="24"/>
          <w:szCs w:val="24"/>
        </w:rPr>
        <w:t>质疑或投诉程序</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投标人认为本次招标文件、招标过程和中标、成交结果违反法律、法规和规章规定的，应当首先依法向采购单位或采购代理机构提出质疑，对采购单位或采购代理机构质疑答复不满意的可到建湖县财政局提出投诉。投标人或者其他利害关系人不按规定投诉或通过捏造事实、伪造证明材料等方式提出异议或投诉，影响招投标活动正常进行的，招投标行政监督部门不予受理，并给予警告。</w:t>
      </w:r>
    </w:p>
    <w:p>
      <w:pPr>
        <w:widowControl/>
        <w:spacing w:line="480" w:lineRule="exact"/>
        <w:ind w:firstLine="480"/>
        <w:jc w:val="left"/>
        <w:rPr>
          <w:rFonts w:ascii="宋体"/>
          <w:color w:val="auto"/>
          <w:sz w:val="24"/>
          <w:szCs w:val="24"/>
        </w:rPr>
      </w:pPr>
      <w:r>
        <w:rPr>
          <w:rFonts w:ascii="宋体" w:hAnsi="宋体" w:cs="宋体"/>
          <w:color w:val="auto"/>
          <w:sz w:val="24"/>
          <w:szCs w:val="24"/>
        </w:rPr>
        <w:t xml:space="preserve">22.7 </w:t>
      </w:r>
      <w:r>
        <w:rPr>
          <w:rFonts w:hint="eastAsia" w:ascii="宋体" w:hAnsi="宋体" w:cs="宋体"/>
          <w:color w:val="auto"/>
          <w:sz w:val="24"/>
          <w:szCs w:val="24"/>
        </w:rPr>
        <w:t>恶意投诉情形</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下列情况之一，投标人的投诉将被界定为恶意投诉，监管机构将对投诉人按有关规定列入不良记录名单并上网公示，投标人今后参与政府项目将受到影响：</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）未按规定向投诉处理部门投诉或向不同部门多方投诉的；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）不符合投诉受理条件，被告知后仍进行投诉的；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）投诉处理部门受理投诉后，投诉人仍就同一内容向其他部门进行投诉的；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）捏造事实、伪造材料进行投诉或在网络等媒体上进行失实报道的；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）投诉经查失实，被告知后，仍然恶意缠诉的；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）一年内三次以上失实投诉的；</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）直接向领导、纪委、检察部门写匿名信等。</w:t>
      </w:r>
    </w:p>
    <w:p>
      <w:pPr>
        <w:widowControl/>
        <w:spacing w:line="480" w:lineRule="exact"/>
        <w:ind w:firstLine="482"/>
        <w:jc w:val="left"/>
        <w:rPr>
          <w:rFonts w:ascii="宋体"/>
          <w:b/>
          <w:bCs/>
          <w:color w:val="auto"/>
          <w:sz w:val="24"/>
          <w:szCs w:val="24"/>
        </w:rPr>
      </w:pPr>
      <w:bookmarkStart w:id="16" w:name="_Hlk153783081"/>
      <w:r>
        <w:rPr>
          <w:rFonts w:ascii="宋体" w:hAnsi="宋体" w:cs="宋体"/>
          <w:b/>
          <w:bCs/>
          <w:color w:val="auto"/>
          <w:sz w:val="24"/>
          <w:szCs w:val="24"/>
        </w:rPr>
        <w:t>23.</w:t>
      </w:r>
      <w:r>
        <w:rPr>
          <w:rFonts w:hint="eastAsia" w:ascii="宋体" w:hAnsi="宋体" w:cs="宋体"/>
          <w:b/>
          <w:bCs/>
          <w:color w:val="auto"/>
          <w:sz w:val="24"/>
          <w:szCs w:val="24"/>
        </w:rPr>
        <w:t>投标人有下列行为之一造成招标人重新招标的，招标人重新招标时可以拒绝其参加投标：</w:t>
      </w:r>
    </w:p>
    <w:p>
      <w:pPr>
        <w:spacing w:before="50" w:line="460" w:lineRule="exact"/>
        <w:ind w:firstLine="482"/>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1</w:t>
      </w:r>
      <w:r>
        <w:rPr>
          <w:rFonts w:hint="eastAsia" w:ascii="宋体" w:hAnsi="宋体" w:cs="宋体"/>
          <w:b/>
          <w:bCs/>
          <w:color w:val="auto"/>
          <w:sz w:val="24"/>
          <w:szCs w:val="24"/>
        </w:rPr>
        <w:t>）无故放弃中标；</w:t>
      </w:r>
    </w:p>
    <w:p>
      <w:pPr>
        <w:spacing w:before="50" w:line="460" w:lineRule="exact"/>
        <w:ind w:firstLine="482"/>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2</w:t>
      </w:r>
      <w:r>
        <w:rPr>
          <w:rFonts w:hint="eastAsia" w:ascii="宋体" w:hAnsi="宋体" w:cs="宋体"/>
          <w:b/>
          <w:bCs/>
          <w:color w:val="auto"/>
          <w:sz w:val="24"/>
          <w:szCs w:val="24"/>
        </w:rPr>
        <w:t>）串通投标；</w:t>
      </w:r>
    </w:p>
    <w:p>
      <w:pPr>
        <w:spacing w:before="50" w:line="460" w:lineRule="exact"/>
        <w:ind w:firstLine="482"/>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3</w:t>
      </w:r>
      <w:r>
        <w:rPr>
          <w:rFonts w:hint="eastAsia" w:ascii="宋体" w:hAnsi="宋体" w:cs="宋体"/>
          <w:b/>
          <w:bCs/>
          <w:color w:val="auto"/>
          <w:sz w:val="24"/>
          <w:szCs w:val="24"/>
        </w:rPr>
        <w:t>）存在弄虚作假行为；</w:t>
      </w:r>
    </w:p>
    <w:p>
      <w:pPr>
        <w:spacing w:before="50" w:line="460" w:lineRule="exact"/>
        <w:ind w:firstLine="482"/>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4</w:t>
      </w:r>
      <w:r>
        <w:rPr>
          <w:rFonts w:hint="eastAsia" w:ascii="宋体" w:hAnsi="宋体" w:cs="宋体"/>
          <w:b/>
          <w:bCs/>
          <w:color w:val="auto"/>
          <w:sz w:val="24"/>
          <w:szCs w:val="24"/>
        </w:rPr>
        <w:t>）以可能影响履约的异常低价参加投标；</w:t>
      </w:r>
    </w:p>
    <w:p>
      <w:pPr>
        <w:spacing w:before="50" w:line="460" w:lineRule="exact"/>
        <w:ind w:firstLine="482"/>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5</w:t>
      </w:r>
      <w:r>
        <w:rPr>
          <w:rFonts w:hint="eastAsia" w:ascii="宋体" w:hAnsi="宋体" w:cs="宋体"/>
          <w:b/>
          <w:bCs/>
          <w:color w:val="auto"/>
          <w:sz w:val="24"/>
          <w:szCs w:val="24"/>
        </w:rPr>
        <w:t>）其他违反法律、法规的行为。</w:t>
      </w:r>
    </w:p>
    <w:p>
      <w:pPr>
        <w:widowControl/>
        <w:spacing w:line="480" w:lineRule="exact"/>
        <w:ind w:firstLine="482"/>
        <w:jc w:val="left"/>
        <w:rPr>
          <w:rFonts w:ascii="宋体"/>
          <w:b/>
          <w:bCs/>
          <w:color w:val="auto"/>
          <w:sz w:val="24"/>
          <w:szCs w:val="24"/>
        </w:rPr>
      </w:pPr>
      <w:r>
        <w:rPr>
          <w:rFonts w:hint="eastAsia" w:ascii="宋体" w:hAnsi="宋体" w:cs="宋体"/>
          <w:b/>
          <w:bCs/>
          <w:color w:val="auto"/>
          <w:sz w:val="24"/>
          <w:szCs w:val="24"/>
        </w:rPr>
        <w:t>对三年内在与招标人合同履行过程中被依法判定存在违约行为导致招标人重大损失或者被列入严重失信主体名单的法人、非法人组织或者自然人，招标人可以拒绝其参加投标。</w:t>
      </w:r>
      <w:bookmarkEnd w:id="16"/>
    </w:p>
    <w:p>
      <w:pPr>
        <w:widowControl/>
        <w:spacing w:line="480" w:lineRule="exact"/>
        <w:ind w:firstLine="480"/>
        <w:jc w:val="left"/>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电子招标投标交易平台</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电子招标投标交易平台（即“苏采云”系统，网址：</w:t>
      </w:r>
      <w:r>
        <w:rPr>
          <w:rFonts w:ascii="宋体" w:hAnsi="宋体" w:cs="宋体"/>
          <w:color w:val="auto"/>
          <w:sz w:val="24"/>
          <w:szCs w:val="24"/>
        </w:rPr>
        <w:t>http://jszfcg.jsczt.cn/</w:t>
      </w:r>
      <w:r>
        <w:rPr>
          <w:rFonts w:hint="eastAsia" w:ascii="宋体" w:hAnsi="宋体" w:cs="宋体"/>
          <w:color w:val="auto"/>
          <w:sz w:val="24"/>
          <w:szCs w:val="24"/>
        </w:rPr>
        <w:t>）相关要求是本招标文件的组成部分。</w:t>
      </w:r>
    </w:p>
    <w:p>
      <w:pPr>
        <w:widowControl/>
        <w:spacing w:line="480" w:lineRule="exact"/>
        <w:ind w:firstLine="480"/>
        <w:jc w:val="left"/>
        <w:rPr>
          <w:rFonts w:ascii="宋体"/>
          <w:color w:val="auto"/>
          <w:sz w:val="24"/>
          <w:szCs w:val="24"/>
        </w:rPr>
      </w:pPr>
    </w:p>
    <w:p>
      <w:pPr>
        <w:widowControl/>
        <w:spacing w:line="480" w:lineRule="exact"/>
        <w:ind w:firstLine="480"/>
        <w:jc w:val="left"/>
        <w:rPr>
          <w:rFonts w:ascii="宋体"/>
          <w:color w:val="auto"/>
          <w:sz w:val="24"/>
          <w:szCs w:val="24"/>
        </w:rPr>
      </w:pPr>
    </w:p>
    <w:p>
      <w:pPr>
        <w:widowControl/>
        <w:spacing w:line="480" w:lineRule="exact"/>
        <w:ind w:firstLine="480"/>
        <w:jc w:val="left"/>
        <w:rPr>
          <w:rFonts w:ascii="宋体"/>
          <w:color w:val="auto"/>
          <w:sz w:val="24"/>
          <w:szCs w:val="24"/>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left="0" w:leftChars="0" w:firstLine="0" w:firstLineChars="0"/>
        <w:rPr>
          <w:rFonts w:ascii="宋体" w:cs="Calibri"/>
          <w:color w:val="auto"/>
        </w:rPr>
      </w:pPr>
    </w:p>
    <w:p>
      <w:pPr>
        <w:pStyle w:val="25"/>
        <w:spacing w:line="480" w:lineRule="exact"/>
        <w:ind w:firstLine="643"/>
        <w:jc w:val="center"/>
        <w:outlineLvl w:val="0"/>
        <w:rPr>
          <w:rFonts w:hAnsi="宋体" w:cs="Calibri"/>
          <w:b/>
          <w:bCs/>
          <w:color w:val="auto"/>
          <w:sz w:val="32"/>
          <w:szCs w:val="32"/>
        </w:rPr>
      </w:pPr>
      <w:bookmarkStart w:id="17" w:name="_Toc130206648"/>
      <w:bookmarkStart w:id="18" w:name="_Toc120519611"/>
      <w:r>
        <w:rPr>
          <w:rFonts w:hint="eastAsia" w:hAnsi="宋体"/>
          <w:b/>
          <w:bCs/>
          <w:color w:val="auto"/>
          <w:sz w:val="32"/>
          <w:szCs w:val="32"/>
        </w:rPr>
        <w:t>第三章</w:t>
      </w:r>
      <w:r>
        <w:rPr>
          <w:rFonts w:hint="eastAsia" w:hAnsi="宋体"/>
          <w:b/>
          <w:bCs/>
          <w:color w:val="auto"/>
          <w:sz w:val="32"/>
          <w:szCs w:val="32"/>
          <w:lang w:val="en-US" w:eastAsia="zh-CN"/>
        </w:rPr>
        <w:t xml:space="preserve">  </w:t>
      </w:r>
      <w:r>
        <w:rPr>
          <w:rFonts w:hint="eastAsia" w:hAnsi="宋体"/>
          <w:b/>
          <w:bCs/>
          <w:color w:val="auto"/>
          <w:sz w:val="32"/>
          <w:szCs w:val="32"/>
        </w:rPr>
        <w:t>招标内容及要求</w:t>
      </w:r>
      <w:bookmarkEnd w:id="17"/>
      <w:bookmarkEnd w:id="18"/>
    </w:p>
    <w:p>
      <w:pPr>
        <w:spacing w:line="460" w:lineRule="exact"/>
        <w:ind w:firstLine="482"/>
        <w:rPr>
          <w:rFonts w:ascii="宋体"/>
          <w:b/>
          <w:bCs/>
          <w:color w:val="auto"/>
          <w:sz w:val="24"/>
          <w:szCs w:val="24"/>
        </w:rPr>
      </w:pPr>
      <w:bookmarkStart w:id="19" w:name="_Toc130206649"/>
      <w:bookmarkStart w:id="20" w:name="_Toc120519615"/>
      <w:r>
        <w:rPr>
          <w:rFonts w:hint="eastAsia" w:ascii="宋体" w:hAnsi="宋体" w:cs="宋体"/>
          <w:b/>
          <w:bCs/>
          <w:color w:val="auto"/>
          <w:sz w:val="24"/>
          <w:szCs w:val="24"/>
        </w:rPr>
        <w:t>一、项目概况</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项目编号：</w:t>
      </w:r>
      <w:r>
        <w:rPr>
          <w:rFonts w:ascii="宋体" w:hAnsi="宋体" w:cs="宋体"/>
          <w:color w:val="auto"/>
          <w:sz w:val="24"/>
          <w:szCs w:val="24"/>
        </w:rPr>
        <w:t>JSZC-320925-CTGL-G2024-0004</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项目名称：</w:t>
      </w:r>
      <w:r>
        <w:rPr>
          <w:rFonts w:hint="eastAsia" w:ascii="宋体" w:hAnsi="宋体" w:cs="宋体"/>
          <w:color w:val="auto"/>
          <w:spacing w:val="-4"/>
          <w:sz w:val="24"/>
          <w:szCs w:val="24"/>
        </w:rPr>
        <w:t>建湖县中高考相关考点广播独立双系统升级改造项目。</w:t>
      </w:r>
    </w:p>
    <w:p>
      <w:pPr>
        <w:widowControl/>
        <w:spacing w:line="48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预算金额：采购预算价为</w:t>
      </w:r>
      <w:r>
        <w:rPr>
          <w:rFonts w:ascii="宋体" w:hAnsi="宋体" w:cs="宋体"/>
          <w:color w:val="auto"/>
          <w:sz w:val="24"/>
          <w:szCs w:val="24"/>
        </w:rPr>
        <w:t>240</w:t>
      </w:r>
      <w:r>
        <w:rPr>
          <w:rFonts w:hint="eastAsia" w:ascii="宋体" w:hAnsi="宋体" w:cs="宋体"/>
          <w:color w:val="auto"/>
          <w:sz w:val="24"/>
          <w:szCs w:val="24"/>
        </w:rPr>
        <w:t>万元，高于该预算价的作无效标论处。</w:t>
      </w:r>
    </w:p>
    <w:p>
      <w:pPr>
        <w:pStyle w:val="41"/>
        <w:spacing w:line="460" w:lineRule="exact"/>
        <w:ind w:firstLine="452"/>
        <w:rPr>
          <w:rFonts w:ascii="宋体" w:hAnsi="宋体" w:eastAsia="宋体" w:cs="Calibri"/>
          <w:color w:val="auto"/>
          <w:spacing w:val="-4"/>
          <w:sz w:val="24"/>
          <w:szCs w:val="24"/>
        </w:rPr>
      </w:pPr>
      <w:r>
        <w:rPr>
          <w:rFonts w:ascii="宋体" w:hAnsi="宋体" w:eastAsia="宋体" w:cs="宋体"/>
          <w:color w:val="auto"/>
          <w:spacing w:val="-4"/>
          <w:sz w:val="24"/>
          <w:szCs w:val="24"/>
        </w:rPr>
        <w:t>4.</w:t>
      </w:r>
      <w:r>
        <w:rPr>
          <w:rFonts w:hint="eastAsia" w:ascii="宋体" w:hAnsi="宋体" w:eastAsia="宋体" w:cs="宋体"/>
          <w:color w:val="auto"/>
          <w:spacing w:val="-4"/>
          <w:sz w:val="24"/>
          <w:szCs w:val="24"/>
        </w:rPr>
        <w:t>质量保修期：三年</w:t>
      </w:r>
    </w:p>
    <w:p>
      <w:pPr>
        <w:pStyle w:val="41"/>
        <w:spacing w:line="460" w:lineRule="exact"/>
        <w:ind w:firstLine="452"/>
        <w:rPr>
          <w:rFonts w:ascii="宋体" w:hAnsi="宋体" w:eastAsia="宋体" w:cs="Calibri"/>
          <w:color w:val="auto"/>
          <w:spacing w:val="-4"/>
          <w:sz w:val="24"/>
          <w:szCs w:val="24"/>
        </w:rPr>
      </w:pPr>
      <w:r>
        <w:rPr>
          <w:rFonts w:ascii="宋体" w:hAnsi="宋体" w:eastAsia="宋体" w:cs="宋体"/>
          <w:color w:val="auto"/>
          <w:spacing w:val="-4"/>
          <w:sz w:val="24"/>
          <w:szCs w:val="24"/>
        </w:rPr>
        <w:t>5.</w:t>
      </w:r>
      <w:r>
        <w:rPr>
          <w:rFonts w:hint="eastAsia" w:ascii="宋体" w:hAnsi="宋体" w:eastAsia="宋体" w:cs="宋体"/>
          <w:color w:val="auto"/>
          <w:spacing w:val="-4"/>
          <w:sz w:val="24"/>
          <w:szCs w:val="24"/>
        </w:rPr>
        <w:t>合同履行期限：</w:t>
      </w:r>
      <w:r>
        <w:rPr>
          <w:rFonts w:hint="eastAsia" w:ascii="宋体" w:hAnsi="宋体" w:eastAsia="宋体" w:cs="宋体"/>
          <w:color w:val="auto"/>
          <w:spacing w:val="-4"/>
          <w:sz w:val="24"/>
          <w:szCs w:val="24"/>
          <w:lang w:eastAsia="zh-CN"/>
        </w:rPr>
        <w:t>2024年5月30日前</w:t>
      </w:r>
      <w:r>
        <w:rPr>
          <w:rFonts w:hint="eastAsia" w:ascii="宋体" w:hAnsi="宋体" w:eastAsia="宋体" w:cs="宋体"/>
          <w:color w:val="auto"/>
          <w:spacing w:val="-4"/>
          <w:sz w:val="24"/>
          <w:szCs w:val="24"/>
        </w:rPr>
        <w:t>完成全部设备的采购、安装、调试工作，并通过验收合格。</w:t>
      </w:r>
    </w:p>
    <w:p>
      <w:pPr>
        <w:widowControl/>
        <w:spacing w:line="480" w:lineRule="exact"/>
        <w:ind w:firstLine="480"/>
        <w:jc w:val="left"/>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本项目不接受联合体投标。</w:t>
      </w:r>
    </w:p>
    <w:p>
      <w:pPr>
        <w:spacing w:line="460" w:lineRule="exact"/>
        <w:ind w:firstLine="482"/>
        <w:rPr>
          <w:rFonts w:ascii="宋体"/>
          <w:b/>
          <w:bCs/>
          <w:color w:val="auto"/>
          <w:sz w:val="24"/>
          <w:szCs w:val="24"/>
        </w:rPr>
      </w:pPr>
      <w:r>
        <w:rPr>
          <w:rFonts w:hint="eastAsia" w:ascii="宋体" w:hAnsi="宋体" w:cs="宋体"/>
          <w:b/>
          <w:bCs/>
          <w:color w:val="auto"/>
          <w:sz w:val="24"/>
          <w:szCs w:val="24"/>
        </w:rPr>
        <w:t>二、建设规范</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（一）本项目执行国家、部委标准，执行教育部考试中心和省考试院有关标准和规定。中标人应参照教育部门的标准制定本项目的标准技术规范，构建本项目的标准体系。</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《国家教育考试网上巡查系统视频标准技术规范（</w:t>
      </w:r>
      <w:r>
        <w:rPr>
          <w:rFonts w:ascii="宋体" w:hAnsi="宋体" w:cs="宋体"/>
          <w:color w:val="auto"/>
          <w:sz w:val="24"/>
          <w:szCs w:val="24"/>
        </w:rPr>
        <w:t>2017</w:t>
      </w:r>
      <w:r>
        <w:rPr>
          <w:rFonts w:hint="eastAsia" w:ascii="宋体" w:hAnsi="宋体" w:cs="宋体"/>
          <w:color w:val="auto"/>
          <w:sz w:val="24"/>
          <w:szCs w:val="24"/>
        </w:rPr>
        <w:t>版）》</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《国家教育考试综合管理平台建设指南（</w:t>
      </w:r>
      <w:r>
        <w:rPr>
          <w:rFonts w:ascii="宋体" w:hAnsi="宋体" w:cs="宋体"/>
          <w:color w:val="auto"/>
          <w:sz w:val="24"/>
          <w:szCs w:val="24"/>
        </w:rPr>
        <w:t>2017</w:t>
      </w:r>
      <w:r>
        <w:rPr>
          <w:rFonts w:hint="eastAsia" w:ascii="宋体" w:hAnsi="宋体" w:cs="宋体"/>
          <w:color w:val="auto"/>
          <w:sz w:val="24"/>
          <w:szCs w:val="24"/>
        </w:rPr>
        <w:t>）》</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《中华人民共和国计算机信息系统安全保护条例》</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《信息系统安全等级保护定级指南》</w:t>
      </w:r>
      <w:r>
        <w:rPr>
          <w:rFonts w:ascii="宋体" w:hAnsi="宋体" w:cs="宋体"/>
          <w:color w:val="auto"/>
          <w:sz w:val="24"/>
          <w:szCs w:val="24"/>
        </w:rPr>
        <w:t xml:space="preserve">(GB/T 22240-2008) </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《信息系统安全等级保护实施指南》</w:t>
      </w:r>
      <w:r>
        <w:rPr>
          <w:rFonts w:ascii="宋体" w:hAnsi="宋体" w:cs="宋体"/>
          <w:color w:val="auto"/>
          <w:sz w:val="24"/>
          <w:szCs w:val="24"/>
        </w:rPr>
        <w:t xml:space="preserve">(GB/T 25058-2010) </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《关于开展全国重要信息系统安全等级保护定级工作的通知》</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《信息安全等级保护管理办法》</w:t>
      </w:r>
      <w:r>
        <w:rPr>
          <w:rFonts w:ascii="宋体" w:hAnsi="宋体" w:cs="宋体"/>
          <w:color w:val="auto"/>
          <w:sz w:val="24"/>
          <w:szCs w:val="24"/>
        </w:rPr>
        <w:t>(</w:t>
      </w:r>
      <w:r>
        <w:rPr>
          <w:rFonts w:hint="eastAsia" w:ascii="宋体" w:hAnsi="宋体" w:cs="宋体"/>
          <w:color w:val="auto"/>
          <w:sz w:val="24"/>
          <w:szCs w:val="24"/>
        </w:rPr>
        <w:t>公通字〔</w:t>
      </w:r>
      <w:r>
        <w:rPr>
          <w:rFonts w:ascii="宋体" w:hAnsi="宋体" w:cs="宋体"/>
          <w:color w:val="auto"/>
          <w:sz w:val="24"/>
          <w:szCs w:val="24"/>
        </w:rPr>
        <w:t>2007</w:t>
      </w:r>
      <w:r>
        <w:rPr>
          <w:rFonts w:hint="eastAsia" w:ascii="宋体" w:hAnsi="宋体" w:cs="宋体"/>
          <w:color w:val="auto"/>
          <w:sz w:val="24"/>
          <w:szCs w:val="24"/>
        </w:rPr>
        <w:t>〕</w:t>
      </w:r>
      <w:r>
        <w:rPr>
          <w:rFonts w:ascii="宋体" w:hAnsi="宋体" w:cs="宋体"/>
          <w:color w:val="auto"/>
          <w:sz w:val="24"/>
          <w:szCs w:val="24"/>
        </w:rPr>
        <w:t xml:space="preserve">43 </w:t>
      </w:r>
      <w:r>
        <w:rPr>
          <w:rFonts w:hint="eastAsia" w:ascii="宋体" w:hAnsi="宋体" w:cs="宋体"/>
          <w:color w:val="auto"/>
          <w:sz w:val="24"/>
          <w:szCs w:val="24"/>
        </w:rPr>
        <w:t>号</w:t>
      </w:r>
      <w:r>
        <w:rPr>
          <w:rFonts w:ascii="宋体" w:hAnsi="宋体" w:cs="宋体"/>
          <w:color w:val="auto"/>
          <w:sz w:val="24"/>
          <w:szCs w:val="24"/>
        </w:rPr>
        <w:t xml:space="preserve">) </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《关于开展全国重要信息系统安全等级保护定级工作的通知》</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《信息安全等级保护管理办法》</w:t>
      </w:r>
      <w:r>
        <w:rPr>
          <w:rFonts w:ascii="宋体" w:hAnsi="宋体" w:cs="宋体"/>
          <w:color w:val="auto"/>
          <w:sz w:val="24"/>
          <w:szCs w:val="24"/>
        </w:rPr>
        <w:t>(</w:t>
      </w:r>
      <w:r>
        <w:rPr>
          <w:rFonts w:hint="eastAsia" w:ascii="宋体" w:hAnsi="宋体" w:cs="宋体"/>
          <w:color w:val="auto"/>
          <w:sz w:val="24"/>
          <w:szCs w:val="24"/>
        </w:rPr>
        <w:t>公通字〔</w:t>
      </w:r>
      <w:r>
        <w:rPr>
          <w:rFonts w:ascii="宋体" w:hAnsi="宋体" w:cs="宋体"/>
          <w:color w:val="auto"/>
          <w:sz w:val="24"/>
          <w:szCs w:val="24"/>
        </w:rPr>
        <w:t>2007</w:t>
      </w:r>
      <w:r>
        <w:rPr>
          <w:rFonts w:hint="eastAsia" w:ascii="宋体" w:hAnsi="宋体" w:cs="宋体"/>
          <w:color w:val="auto"/>
          <w:sz w:val="24"/>
          <w:szCs w:val="24"/>
        </w:rPr>
        <w:t>〕</w:t>
      </w:r>
      <w:r>
        <w:rPr>
          <w:rFonts w:ascii="宋体" w:hAnsi="宋体" w:cs="宋体"/>
          <w:color w:val="auto"/>
          <w:sz w:val="24"/>
          <w:szCs w:val="24"/>
        </w:rPr>
        <w:t>43</w:t>
      </w:r>
      <w:r>
        <w:rPr>
          <w:rFonts w:hint="eastAsia" w:ascii="宋体" w:hAnsi="宋体" w:cs="宋体"/>
          <w:color w:val="auto"/>
          <w:sz w:val="24"/>
          <w:szCs w:val="24"/>
        </w:rPr>
        <w:t>号</w:t>
      </w:r>
      <w:r>
        <w:rPr>
          <w:rFonts w:ascii="宋体" w:hAnsi="宋体" w:cs="宋体"/>
          <w:color w:val="auto"/>
          <w:sz w:val="24"/>
          <w:szCs w:val="24"/>
        </w:rPr>
        <w:t xml:space="preserve">) </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《安全防范工程技术规范》……………………………</w:t>
      </w:r>
      <w:r>
        <w:rPr>
          <w:rFonts w:ascii="宋体" w:hAnsi="宋体" w:cs="宋体"/>
          <w:color w:val="auto"/>
          <w:sz w:val="24"/>
          <w:szCs w:val="24"/>
        </w:rPr>
        <w:t>GB50348-2014</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《视频安防监控系统工程设计规范》…………………</w:t>
      </w:r>
      <w:r>
        <w:rPr>
          <w:rFonts w:ascii="宋体" w:hAnsi="宋体" w:cs="宋体"/>
          <w:color w:val="auto"/>
          <w:sz w:val="24"/>
          <w:szCs w:val="24"/>
        </w:rPr>
        <w:t>GB/50395-2007</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《入侵报警系统工程设计规范》………………………</w:t>
      </w:r>
      <w:r>
        <w:rPr>
          <w:rFonts w:ascii="宋体" w:hAnsi="宋体" w:cs="宋体"/>
          <w:color w:val="auto"/>
          <w:sz w:val="24"/>
          <w:szCs w:val="24"/>
        </w:rPr>
        <w:t>GB/50394-2007</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《安全防范系统验收规则》……………………………</w:t>
      </w:r>
      <w:r>
        <w:rPr>
          <w:rFonts w:ascii="宋体" w:hAnsi="宋体" w:cs="宋体"/>
          <w:color w:val="auto"/>
          <w:sz w:val="24"/>
          <w:szCs w:val="24"/>
        </w:rPr>
        <w:t>GA308-2001</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《智能建筑设计标准》…………………………………</w:t>
      </w:r>
      <w:r>
        <w:rPr>
          <w:rFonts w:ascii="宋体" w:hAnsi="宋体" w:cs="宋体"/>
          <w:color w:val="auto"/>
          <w:sz w:val="24"/>
          <w:szCs w:val="24"/>
        </w:rPr>
        <w:t>GB50314-2006</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《综合布线系统工程设计规范》………………………</w:t>
      </w:r>
      <w:r>
        <w:rPr>
          <w:rFonts w:ascii="宋体" w:hAnsi="宋体" w:cs="宋体"/>
          <w:color w:val="auto"/>
          <w:sz w:val="24"/>
          <w:szCs w:val="24"/>
        </w:rPr>
        <w:t>GB50311-2007</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《建筑物防雷设计规范》………………………………</w:t>
      </w:r>
      <w:r>
        <w:rPr>
          <w:rFonts w:ascii="宋体" w:hAnsi="宋体" w:cs="宋体"/>
          <w:color w:val="auto"/>
          <w:sz w:val="24"/>
          <w:szCs w:val="24"/>
        </w:rPr>
        <w:t>GB50057-94-2000</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《厅堂扩声系统设计规范》……………………………</w:t>
      </w:r>
      <w:r>
        <w:rPr>
          <w:rFonts w:ascii="宋体" w:hAnsi="宋体" w:cs="宋体"/>
          <w:color w:val="auto"/>
          <w:sz w:val="24"/>
          <w:szCs w:val="24"/>
        </w:rPr>
        <w:t>GB50371-2006</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《建筑隔声评价标准》…………………………………</w:t>
      </w:r>
      <w:r>
        <w:rPr>
          <w:rFonts w:ascii="宋体" w:hAnsi="宋体" w:cs="宋体"/>
          <w:color w:val="auto"/>
          <w:sz w:val="24"/>
          <w:szCs w:val="24"/>
        </w:rPr>
        <w:t xml:space="preserve">GB/T50121-2005  </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《会议系统及其音频性能要求》………………………</w:t>
      </w:r>
      <w:r>
        <w:rPr>
          <w:rFonts w:ascii="宋体" w:hAnsi="宋体" w:cs="宋体"/>
          <w:color w:val="auto"/>
          <w:sz w:val="24"/>
          <w:szCs w:val="24"/>
        </w:rPr>
        <w:t>GB/T15381-94</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《民用建筑电气设计规范》……………………………</w:t>
      </w:r>
      <w:r>
        <w:rPr>
          <w:rFonts w:ascii="宋体" w:hAnsi="宋体" w:cs="宋体"/>
          <w:color w:val="auto"/>
          <w:sz w:val="24"/>
          <w:szCs w:val="24"/>
        </w:rPr>
        <w:t>JGJ16-2008</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《会议电视系统工程设计规范》………………………</w:t>
      </w:r>
      <w:r>
        <w:rPr>
          <w:rFonts w:ascii="宋体" w:hAnsi="宋体" w:cs="宋体"/>
          <w:color w:val="auto"/>
          <w:sz w:val="24"/>
          <w:szCs w:val="24"/>
        </w:rPr>
        <w:t>YD5032-2005</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《会议电视系统工程验收规范》………………………</w:t>
      </w:r>
      <w:r>
        <w:rPr>
          <w:rFonts w:ascii="宋体" w:hAnsi="宋体" w:cs="宋体"/>
          <w:color w:val="auto"/>
          <w:sz w:val="24"/>
          <w:szCs w:val="24"/>
        </w:rPr>
        <w:t>YD5033-2005</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（二）所提供的产品需符合或不低于《国家教育考试网上巡查系统视频标准技术规范（</w:t>
      </w:r>
      <w:r>
        <w:rPr>
          <w:rFonts w:ascii="宋体" w:hAnsi="宋体" w:cs="宋体"/>
          <w:color w:val="auto"/>
          <w:sz w:val="24"/>
          <w:szCs w:val="24"/>
        </w:rPr>
        <w:t>2017</w:t>
      </w:r>
      <w:r>
        <w:rPr>
          <w:rFonts w:hint="eastAsia" w:ascii="宋体" w:hAnsi="宋体" w:cs="宋体"/>
          <w:color w:val="auto"/>
          <w:sz w:val="24"/>
          <w:szCs w:val="24"/>
        </w:rPr>
        <w:t>版）》和《江苏省国家教育考试标准化考点升级建设入围招标》；以及省教育厅和省财政厅关于做好江苏省国家教育考试标准化考点升级建设工作的通知》（苏教考〔</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18</w:t>
      </w:r>
      <w:r>
        <w:rPr>
          <w:rFonts w:hint="eastAsia" w:ascii="宋体" w:hAnsi="宋体" w:cs="宋体"/>
          <w:color w:val="auto"/>
          <w:sz w:val="24"/>
          <w:szCs w:val="24"/>
        </w:rPr>
        <w:t>号）有关文件要求。</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（三）设备其他要求</w:t>
      </w:r>
    </w:p>
    <w:p>
      <w:pPr>
        <w:widowControl/>
        <w:spacing w:line="480" w:lineRule="exact"/>
        <w:ind w:firstLine="48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项目为交钥匙工程，项目实施完成后，必须保证采购方正常使用设备及系统，投标单位应根据招标文件、现场勘察、需求调研各自情况等，进行报价编制，招标文件未列明而投标人认为必须的费用，列入总报价中，项目交付使用前的所有费用均包括在总报价中。</w:t>
      </w:r>
    </w:p>
    <w:p>
      <w:pPr>
        <w:widowControl/>
        <w:spacing w:line="480" w:lineRule="exact"/>
        <w:ind w:firstLine="48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为保证项目正常运营，投标人针对本项目编制售后服务方案，方案至少包括服务体系、服务内容、服务承诺、故障解决方案等内容。</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提供技术培训，投标文件中应给出详尽的培训计划，确保采购人的使用人员在经过培训后能完全掌握系统维护。</w:t>
      </w:r>
    </w:p>
    <w:p>
      <w:pPr>
        <w:widowControl/>
        <w:spacing w:line="480" w:lineRule="exact"/>
        <w:ind w:firstLine="480"/>
        <w:jc w:val="left"/>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所有安装施工材料质量及施工质量必须严格按照国家规范及地方规范的有关要求执行。</w:t>
      </w:r>
    </w:p>
    <w:p>
      <w:pPr>
        <w:widowControl/>
        <w:spacing w:line="480" w:lineRule="exact"/>
        <w:ind w:firstLine="480"/>
        <w:jc w:val="lef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设备在安装时，应根据生产厂家所提供的产品安装说明书施工，安装辅材必须采用优质产品。</w:t>
      </w:r>
    </w:p>
    <w:p>
      <w:pPr>
        <w:widowControl/>
        <w:spacing w:line="480" w:lineRule="exact"/>
        <w:ind w:firstLine="480"/>
        <w:jc w:val="left"/>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中标人应对安装施工质量全面负责，文明、安全施工，如中标人原因造成质量事故、中标人承担一切经济法律责任。</w:t>
      </w:r>
    </w:p>
    <w:p>
      <w:pPr>
        <w:widowControl/>
        <w:spacing w:line="480" w:lineRule="exact"/>
        <w:ind w:firstLine="480"/>
        <w:jc w:val="left"/>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在实施期间，中标人应无条件的遵守施工现场的各项规章制度。</w:t>
      </w:r>
    </w:p>
    <w:p>
      <w:pPr>
        <w:widowControl/>
        <w:spacing w:line="480" w:lineRule="exact"/>
        <w:ind w:firstLine="480"/>
        <w:jc w:val="left"/>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实施期间，中标人应无条件的接受采购人的质量监督，提出的质量问题要及时整改，整改完毕后通知采购人检查验收，合格后书面报送采购人备案。</w:t>
      </w:r>
    </w:p>
    <w:p>
      <w:pPr>
        <w:widowControl/>
        <w:spacing w:line="480" w:lineRule="exact"/>
        <w:ind w:firstLine="480"/>
        <w:jc w:val="left"/>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中标人必须按照国家标准施工，不得偷工减料。</w:t>
      </w:r>
    </w:p>
    <w:p>
      <w:pPr>
        <w:widowControl/>
        <w:spacing w:line="480" w:lineRule="exact"/>
        <w:ind w:firstLine="480"/>
        <w:jc w:val="left"/>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中标人必须建立健全质量检查制度，严格工序管理，隐蔽工程在隐蔽前应通知采购人检查验收；本着谁施工谁负责产品保护，谁破坏产品谁负责赔偿的原则，中标人必须采取切实有效的产品保护措施，并编制相应的产品保护方案报采购人批准同意后组织实施。</w:t>
      </w:r>
    </w:p>
    <w:p>
      <w:pPr>
        <w:widowControl/>
        <w:spacing w:line="480" w:lineRule="exact"/>
        <w:ind w:firstLine="480"/>
        <w:jc w:val="left"/>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中标人必须负责安装过程中对采购人原有装修的破坏进行修复，恢复原状，该费用包含于总投标报价中。</w:t>
      </w:r>
    </w:p>
    <w:p>
      <w:pPr>
        <w:spacing w:line="460" w:lineRule="exact"/>
        <w:ind w:firstLine="482"/>
        <w:rPr>
          <w:rFonts w:ascii="宋体"/>
          <w:b/>
          <w:bCs/>
          <w:color w:val="auto"/>
          <w:sz w:val="24"/>
          <w:szCs w:val="24"/>
        </w:rPr>
      </w:pPr>
      <w:r>
        <w:rPr>
          <w:rFonts w:hint="eastAsia" w:ascii="宋体" w:hAnsi="宋体" w:cs="宋体"/>
          <w:b/>
          <w:bCs/>
          <w:color w:val="auto"/>
          <w:sz w:val="24"/>
          <w:szCs w:val="24"/>
        </w:rPr>
        <w:t>三、采购清单及详细技术与服务要求</w:t>
      </w:r>
    </w:p>
    <w:tbl>
      <w:tblPr>
        <w:tblStyle w:val="43"/>
        <w:tblW w:w="5216" w:type="pct"/>
        <w:tblInd w:w="2" w:type="dxa"/>
        <w:tblLayout w:type="fixed"/>
        <w:tblCellMar>
          <w:top w:w="0" w:type="dxa"/>
          <w:left w:w="108" w:type="dxa"/>
          <w:bottom w:w="0" w:type="dxa"/>
          <w:right w:w="108" w:type="dxa"/>
        </w:tblCellMar>
      </w:tblPr>
      <w:tblGrid>
        <w:gridCol w:w="785"/>
        <w:gridCol w:w="894"/>
        <w:gridCol w:w="3974"/>
        <w:gridCol w:w="630"/>
        <w:gridCol w:w="737"/>
        <w:gridCol w:w="564"/>
        <w:gridCol w:w="564"/>
        <w:gridCol w:w="564"/>
        <w:gridCol w:w="564"/>
        <w:gridCol w:w="648"/>
      </w:tblGrid>
      <w:tr>
        <w:tblPrEx>
          <w:tblCellMar>
            <w:top w:w="0" w:type="dxa"/>
            <w:left w:w="108" w:type="dxa"/>
            <w:bottom w:w="0" w:type="dxa"/>
            <w:right w:w="108" w:type="dxa"/>
          </w:tblCellMar>
        </w:tblPrEx>
        <w:trPr>
          <w:trHeight w:val="405"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序号</w:t>
            </w:r>
          </w:p>
        </w:tc>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4"/>
                <w:szCs w:val="24"/>
              </w:rPr>
            </w:pPr>
            <w:r>
              <w:rPr>
                <w:rFonts w:hint="eastAsia" w:ascii="宋体" w:hAnsi="宋体" w:cs="宋体"/>
                <w:color w:val="auto"/>
                <w:sz w:val="24"/>
                <w:szCs w:val="24"/>
              </w:rPr>
              <w:t>设备名称</w:t>
            </w:r>
          </w:p>
        </w:tc>
        <w:tc>
          <w:tcPr>
            <w:tcW w:w="200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技术要求</w:t>
            </w:r>
          </w:p>
        </w:tc>
        <w:tc>
          <w:tcPr>
            <w:tcW w:w="31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单位</w:t>
            </w:r>
          </w:p>
        </w:tc>
        <w:tc>
          <w:tcPr>
            <w:tcW w:w="1834"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数量</w:t>
            </w:r>
          </w:p>
        </w:tc>
      </w:tr>
      <w:tr>
        <w:tblPrEx>
          <w:tblCellMar>
            <w:top w:w="0" w:type="dxa"/>
            <w:left w:w="108" w:type="dxa"/>
            <w:bottom w:w="0" w:type="dxa"/>
            <w:right w:w="108" w:type="dxa"/>
          </w:tblCellMar>
        </w:tblPrEx>
        <w:trPr>
          <w:trHeight w:val="285"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4"/>
                <w:szCs w:val="24"/>
              </w:rPr>
            </w:pPr>
          </w:p>
        </w:tc>
        <w:tc>
          <w:tcPr>
            <w:tcW w:w="20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4"/>
                <w:szCs w:val="24"/>
              </w:rPr>
            </w:pPr>
          </w:p>
        </w:tc>
        <w:tc>
          <w:tcPr>
            <w:tcW w:w="31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4"/>
                <w:szCs w:val="24"/>
              </w:rPr>
            </w:pPr>
          </w:p>
        </w:tc>
        <w:tc>
          <w:tcPr>
            <w:tcW w:w="37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县高中</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二中</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中专</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一中</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汇杰</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汇总</w:t>
            </w:r>
          </w:p>
        </w:tc>
      </w:tr>
      <w:tr>
        <w:tblPrEx>
          <w:tblCellMar>
            <w:top w:w="0" w:type="dxa"/>
            <w:left w:w="108" w:type="dxa"/>
            <w:bottom w:w="0" w:type="dxa"/>
            <w:right w:w="108" w:type="dxa"/>
          </w:tblCellMar>
        </w:tblPrEx>
        <w:trPr>
          <w:trHeight w:val="60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前置放大器</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设备不低于</w:t>
            </w:r>
            <w:r>
              <w:rPr>
                <w:rFonts w:ascii="宋体" w:hAnsi="宋体" w:cs="宋体"/>
                <w:color w:val="auto"/>
                <w:sz w:val="20"/>
                <w:szCs w:val="20"/>
              </w:rPr>
              <w:t>5</w:t>
            </w:r>
            <w:r>
              <w:rPr>
                <w:rFonts w:hint="eastAsia" w:ascii="宋体" w:hAnsi="宋体" w:cs="宋体"/>
                <w:color w:val="auto"/>
                <w:sz w:val="20"/>
                <w:szCs w:val="20"/>
              </w:rPr>
              <w:t>路话筒（</w:t>
            </w:r>
            <w:r>
              <w:rPr>
                <w:rFonts w:ascii="宋体" w:hAnsi="宋体" w:cs="宋体"/>
                <w:color w:val="auto"/>
                <w:sz w:val="20"/>
                <w:szCs w:val="20"/>
              </w:rPr>
              <w:t>MIC</w:t>
            </w:r>
            <w:r>
              <w:rPr>
                <w:rFonts w:hint="eastAsia" w:ascii="宋体" w:hAnsi="宋体" w:cs="宋体"/>
                <w:color w:val="auto"/>
                <w:sz w:val="20"/>
                <w:szCs w:val="20"/>
              </w:rPr>
              <w:t>）输入，不低于</w:t>
            </w:r>
            <w:r>
              <w:rPr>
                <w:rFonts w:ascii="宋体" w:hAnsi="宋体" w:cs="宋体"/>
                <w:color w:val="auto"/>
                <w:sz w:val="20"/>
                <w:szCs w:val="20"/>
              </w:rPr>
              <w:t>3</w:t>
            </w:r>
            <w:r>
              <w:rPr>
                <w:rFonts w:hint="eastAsia" w:ascii="宋体" w:hAnsi="宋体" w:cs="宋体"/>
                <w:color w:val="auto"/>
                <w:sz w:val="20"/>
                <w:szCs w:val="20"/>
              </w:rPr>
              <w:t>路标准信号线路（</w:t>
            </w:r>
            <w:r>
              <w:rPr>
                <w:rFonts w:ascii="宋体" w:hAnsi="宋体" w:cs="宋体"/>
                <w:color w:val="auto"/>
                <w:sz w:val="20"/>
                <w:szCs w:val="20"/>
              </w:rPr>
              <w:t>AUX</w:t>
            </w:r>
            <w:r>
              <w:rPr>
                <w:rFonts w:hint="eastAsia" w:ascii="宋体" w:hAnsi="宋体" w:cs="宋体"/>
                <w:color w:val="auto"/>
                <w:sz w:val="20"/>
                <w:szCs w:val="20"/>
              </w:rPr>
              <w:t>）输入，不低于</w:t>
            </w:r>
            <w:r>
              <w:rPr>
                <w:rFonts w:ascii="宋体" w:hAnsi="宋体" w:cs="宋体"/>
                <w:color w:val="auto"/>
                <w:sz w:val="20"/>
                <w:szCs w:val="20"/>
              </w:rPr>
              <w:t>2</w:t>
            </w:r>
            <w:r>
              <w:rPr>
                <w:rFonts w:hint="eastAsia" w:ascii="宋体" w:hAnsi="宋体" w:cs="宋体"/>
                <w:color w:val="auto"/>
                <w:sz w:val="20"/>
                <w:szCs w:val="20"/>
              </w:rPr>
              <w:t>路紧急线路（</w:t>
            </w:r>
            <w:r>
              <w:rPr>
                <w:rFonts w:ascii="宋体" w:hAnsi="宋体" w:cs="宋体"/>
                <w:color w:val="auto"/>
                <w:sz w:val="20"/>
                <w:szCs w:val="20"/>
              </w:rPr>
              <w:t>EMC</w:t>
            </w:r>
            <w:r>
              <w:rPr>
                <w:rFonts w:hint="eastAsia" w:ascii="宋体" w:hAnsi="宋体" w:cs="宋体"/>
                <w:color w:val="auto"/>
                <w:sz w:val="20"/>
                <w:szCs w:val="20"/>
              </w:rPr>
              <w:t>）输入。</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设备话筒输入灵敏度：话筒</w:t>
            </w:r>
            <w:r>
              <w:rPr>
                <w:rFonts w:ascii="宋体" w:hAnsi="宋体" w:cs="宋体"/>
                <w:color w:val="auto"/>
                <w:sz w:val="20"/>
                <w:szCs w:val="20"/>
              </w:rPr>
              <w:t>:</w:t>
            </w:r>
            <w:r>
              <w:rPr>
                <w:rFonts w:hint="eastAsia" w:ascii="宋体" w:hAnsi="宋体" w:cs="宋体"/>
                <w:color w:val="auto"/>
                <w:sz w:val="20"/>
                <w:szCs w:val="20"/>
              </w:rPr>
              <w:t>不低于</w:t>
            </w:r>
            <w:r>
              <w:rPr>
                <w:rFonts w:ascii="宋体" w:hAnsi="宋体" w:cs="宋体"/>
                <w:color w:val="auto"/>
                <w:sz w:val="20"/>
                <w:szCs w:val="20"/>
              </w:rPr>
              <w:t>5mV/600</w:t>
            </w:r>
            <w:r>
              <w:rPr>
                <w:rFonts w:hint="eastAsia" w:ascii="宋体" w:hAnsi="宋体" w:cs="宋体"/>
                <w:color w:val="auto"/>
                <w:sz w:val="20"/>
                <w:szCs w:val="20"/>
              </w:rPr>
              <w:t>Ω非平衡；线路</w:t>
            </w:r>
            <w:r>
              <w:rPr>
                <w:rFonts w:ascii="宋体" w:hAnsi="宋体" w:cs="宋体"/>
                <w:color w:val="auto"/>
                <w:sz w:val="20"/>
                <w:szCs w:val="20"/>
              </w:rPr>
              <w:t>RCA:</w:t>
            </w:r>
            <w:r>
              <w:rPr>
                <w:rFonts w:hint="eastAsia" w:ascii="宋体" w:hAnsi="宋体" w:cs="宋体"/>
                <w:color w:val="auto"/>
                <w:sz w:val="20"/>
                <w:szCs w:val="20"/>
              </w:rPr>
              <w:t>不低于</w:t>
            </w:r>
            <w:r>
              <w:rPr>
                <w:rFonts w:ascii="宋体" w:hAnsi="宋体" w:cs="宋体"/>
                <w:color w:val="auto"/>
                <w:sz w:val="20"/>
                <w:szCs w:val="20"/>
              </w:rPr>
              <w:t>775mV /10K</w:t>
            </w:r>
            <w:r>
              <w:rPr>
                <w:rFonts w:hint="eastAsia" w:ascii="宋体" w:hAnsi="宋体" w:cs="宋体"/>
                <w:color w:val="auto"/>
                <w:sz w:val="20"/>
                <w:szCs w:val="20"/>
              </w:rPr>
              <w:t>Ω非平衡。</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设备辅助输入：</w:t>
            </w:r>
            <w:r>
              <w:rPr>
                <w:rFonts w:ascii="宋体" w:hAnsi="宋体" w:cs="宋体"/>
                <w:color w:val="auto"/>
                <w:sz w:val="20"/>
                <w:szCs w:val="20"/>
              </w:rPr>
              <w:t xml:space="preserve">AUX 1.2.3: </w:t>
            </w:r>
            <w:r>
              <w:rPr>
                <w:rFonts w:hint="eastAsia" w:ascii="宋体" w:hAnsi="宋体" w:cs="宋体"/>
                <w:color w:val="auto"/>
                <w:sz w:val="20"/>
                <w:szCs w:val="20"/>
              </w:rPr>
              <w:t>不低于</w:t>
            </w:r>
            <w:r>
              <w:rPr>
                <w:rFonts w:ascii="宋体" w:hAnsi="宋体" w:cs="宋体"/>
                <w:color w:val="auto"/>
                <w:sz w:val="20"/>
                <w:szCs w:val="20"/>
              </w:rPr>
              <w:t>350mV/10K</w:t>
            </w:r>
            <w:r>
              <w:rPr>
                <w:rFonts w:hint="eastAsia" w:ascii="宋体" w:hAnsi="宋体" w:cs="宋体"/>
                <w:color w:val="auto"/>
                <w:sz w:val="20"/>
                <w:szCs w:val="20"/>
              </w:rPr>
              <w:t>Ω非平衡</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设备</w:t>
            </w:r>
            <w:r>
              <w:rPr>
                <w:rFonts w:ascii="宋体" w:hAnsi="宋体" w:cs="宋体"/>
                <w:color w:val="auto"/>
                <w:sz w:val="20"/>
                <w:szCs w:val="20"/>
              </w:rPr>
              <w:t>EMC1-2</w:t>
            </w:r>
            <w:r>
              <w:rPr>
                <w:rFonts w:hint="eastAsia" w:ascii="宋体" w:hAnsi="宋体" w:cs="宋体"/>
                <w:color w:val="auto"/>
                <w:sz w:val="20"/>
                <w:szCs w:val="20"/>
              </w:rPr>
              <w:t>输入：</w:t>
            </w:r>
            <w:r>
              <w:rPr>
                <w:rFonts w:ascii="宋体" w:hAnsi="宋体" w:cs="宋体"/>
                <w:color w:val="auto"/>
                <w:sz w:val="20"/>
                <w:szCs w:val="20"/>
              </w:rPr>
              <w:t>RAC:</w:t>
            </w:r>
            <w:r>
              <w:rPr>
                <w:rFonts w:hint="eastAsia" w:ascii="宋体" w:hAnsi="宋体" w:cs="宋体"/>
                <w:color w:val="auto"/>
                <w:sz w:val="20"/>
                <w:szCs w:val="20"/>
              </w:rPr>
              <w:t>非平衡不低于</w:t>
            </w:r>
            <w:r>
              <w:rPr>
                <w:rFonts w:ascii="宋体" w:hAnsi="宋体" w:cs="宋体"/>
                <w:color w:val="auto"/>
                <w:sz w:val="20"/>
                <w:szCs w:val="20"/>
              </w:rPr>
              <w:t>200mV</w:t>
            </w:r>
            <w:r>
              <w:rPr>
                <w:rFonts w:hint="eastAsia" w:ascii="宋体" w:hAnsi="宋体" w:cs="宋体"/>
                <w:color w:val="auto"/>
                <w:sz w:val="20"/>
                <w:szCs w:val="20"/>
              </w:rPr>
              <w:t>～</w:t>
            </w:r>
            <w:r>
              <w:rPr>
                <w:rFonts w:ascii="宋体" w:hAnsi="宋体" w:cs="宋体"/>
                <w:color w:val="auto"/>
                <w:sz w:val="20"/>
                <w:szCs w:val="20"/>
              </w:rPr>
              <w:t>1000mV/10K</w:t>
            </w:r>
            <w:r>
              <w:rPr>
                <w:rFonts w:hint="eastAsia" w:ascii="宋体" w:hAnsi="宋体" w:cs="宋体"/>
                <w:color w:val="auto"/>
                <w:sz w:val="20"/>
                <w:szCs w:val="20"/>
              </w:rPr>
              <w:t>Ω；</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设备话筒（</w:t>
            </w:r>
            <w:r>
              <w:rPr>
                <w:rFonts w:ascii="宋体" w:hAnsi="宋体" w:cs="宋体"/>
                <w:color w:val="auto"/>
                <w:sz w:val="20"/>
                <w:szCs w:val="20"/>
              </w:rPr>
              <w:t>MIC</w:t>
            </w:r>
            <w:r>
              <w:rPr>
                <w:rFonts w:hint="eastAsia" w:ascii="宋体" w:hAnsi="宋体" w:cs="宋体"/>
                <w:color w:val="auto"/>
                <w:sz w:val="20"/>
                <w:szCs w:val="20"/>
              </w:rPr>
              <w:t>）输入通道和线路（</w:t>
            </w:r>
            <w:r>
              <w:rPr>
                <w:rFonts w:ascii="宋体" w:hAnsi="宋体" w:cs="宋体"/>
                <w:color w:val="auto"/>
                <w:sz w:val="20"/>
                <w:szCs w:val="20"/>
              </w:rPr>
              <w:t>AUX</w:t>
            </w:r>
            <w:r>
              <w:rPr>
                <w:rFonts w:hint="eastAsia" w:ascii="宋体" w:hAnsi="宋体" w:cs="宋体"/>
                <w:color w:val="auto"/>
                <w:sz w:val="20"/>
                <w:szCs w:val="20"/>
              </w:rPr>
              <w:t>）输入通道均可独立调校音量，并设有总音量控制旋钮。</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设备</w:t>
            </w:r>
            <w:r>
              <w:rPr>
                <w:rFonts w:ascii="宋体" w:hAnsi="宋体" w:cs="宋体"/>
                <w:color w:val="auto"/>
                <w:sz w:val="20"/>
                <w:szCs w:val="20"/>
              </w:rPr>
              <w:t>MIC</w:t>
            </w:r>
            <w:r>
              <w:rPr>
                <w:rFonts w:hint="eastAsia" w:ascii="宋体" w:hAnsi="宋体" w:cs="宋体"/>
                <w:color w:val="auto"/>
                <w:sz w:val="20"/>
                <w:szCs w:val="20"/>
              </w:rPr>
              <w:t>和紧急输入（</w:t>
            </w:r>
            <w:r>
              <w:rPr>
                <w:rFonts w:ascii="宋体" w:hAnsi="宋体" w:cs="宋体"/>
                <w:color w:val="auto"/>
                <w:sz w:val="20"/>
                <w:szCs w:val="20"/>
              </w:rPr>
              <w:t>EMC</w:t>
            </w:r>
            <w:r>
              <w:rPr>
                <w:rFonts w:hint="eastAsia" w:ascii="宋体" w:hAnsi="宋体" w:cs="宋体"/>
                <w:color w:val="auto"/>
                <w:sz w:val="20"/>
                <w:szCs w:val="20"/>
              </w:rPr>
              <w:t>）通道均附设有线路辅助输入接口功能。设备紧急输入线路具有二级优先，强行切入优先功能。设备</w:t>
            </w:r>
            <w:r>
              <w:rPr>
                <w:rFonts w:ascii="宋体" w:hAnsi="宋体" w:cs="宋体"/>
                <w:color w:val="auto"/>
                <w:sz w:val="20"/>
                <w:szCs w:val="20"/>
              </w:rPr>
              <w:t>MIC 5</w:t>
            </w:r>
            <w:r>
              <w:rPr>
                <w:rFonts w:hint="eastAsia" w:ascii="宋体" w:hAnsi="宋体" w:cs="宋体"/>
                <w:color w:val="auto"/>
                <w:sz w:val="20"/>
                <w:szCs w:val="20"/>
              </w:rPr>
              <w:t>具有最高优先、强行切入优先功能；</w:t>
            </w:r>
            <w:r>
              <w:rPr>
                <w:rFonts w:ascii="宋体" w:hAnsi="宋体" w:cs="宋体"/>
                <w:color w:val="auto"/>
                <w:sz w:val="20"/>
                <w:szCs w:val="20"/>
              </w:rPr>
              <w:t>MIC 5</w:t>
            </w:r>
            <w:r>
              <w:rPr>
                <w:rFonts w:hint="eastAsia" w:ascii="宋体" w:hAnsi="宋体" w:cs="宋体"/>
                <w:color w:val="auto"/>
                <w:sz w:val="20"/>
                <w:szCs w:val="20"/>
              </w:rPr>
              <w:t>和</w:t>
            </w:r>
            <w:r>
              <w:rPr>
                <w:rFonts w:ascii="宋体" w:hAnsi="宋体" w:cs="宋体"/>
                <w:color w:val="auto"/>
                <w:sz w:val="20"/>
                <w:szCs w:val="20"/>
              </w:rPr>
              <w:t>EMC</w:t>
            </w:r>
            <w:r>
              <w:rPr>
                <w:rFonts w:hint="eastAsia" w:ascii="宋体" w:hAnsi="宋体" w:cs="宋体"/>
                <w:color w:val="auto"/>
                <w:sz w:val="20"/>
                <w:szCs w:val="20"/>
              </w:rPr>
              <w:t>最高优先权限功能可通过拔动开关交替选择，客户可根据使用情况选择优先。</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设备</w:t>
            </w:r>
            <w:r>
              <w:rPr>
                <w:rFonts w:ascii="宋体" w:hAnsi="宋体" w:cs="宋体"/>
                <w:color w:val="auto"/>
                <w:sz w:val="20"/>
                <w:szCs w:val="20"/>
              </w:rPr>
              <w:t>MIC</w:t>
            </w:r>
            <w:r>
              <w:rPr>
                <w:rFonts w:hint="eastAsia" w:ascii="宋体" w:hAnsi="宋体" w:cs="宋体"/>
                <w:color w:val="auto"/>
                <w:sz w:val="20"/>
                <w:szCs w:val="20"/>
              </w:rPr>
              <w:t>和</w:t>
            </w:r>
            <w:r>
              <w:rPr>
                <w:rFonts w:ascii="宋体" w:hAnsi="宋体" w:cs="宋体"/>
                <w:color w:val="auto"/>
                <w:sz w:val="20"/>
                <w:szCs w:val="20"/>
              </w:rPr>
              <w:t>AUX</w:t>
            </w:r>
            <w:r>
              <w:rPr>
                <w:rFonts w:hint="eastAsia" w:ascii="宋体" w:hAnsi="宋体" w:cs="宋体"/>
                <w:color w:val="auto"/>
                <w:sz w:val="20"/>
                <w:szCs w:val="20"/>
              </w:rPr>
              <w:t>可交叉混合输出。</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设备频率响应：</w:t>
            </w:r>
            <w:r>
              <w:rPr>
                <w:rFonts w:ascii="宋体" w:hAnsi="宋体" w:cs="宋体"/>
                <w:color w:val="auto"/>
                <w:sz w:val="20"/>
                <w:szCs w:val="20"/>
              </w:rPr>
              <w:t>20Hz-20KHz(</w:t>
            </w:r>
            <w:r>
              <w:rPr>
                <w:rFonts w:hint="eastAsia" w:ascii="宋体" w:hAnsi="宋体" w:cs="宋体"/>
                <w:color w:val="auto"/>
                <w:sz w:val="20"/>
                <w:szCs w:val="20"/>
              </w:rPr>
              <w:t>±</w:t>
            </w:r>
            <w:r>
              <w:rPr>
                <w:rFonts w:ascii="宋体" w:hAnsi="宋体" w:cs="宋体"/>
                <w:color w:val="auto"/>
                <w:sz w:val="20"/>
                <w:szCs w:val="20"/>
              </w:rPr>
              <w:t>3dB)</w:t>
            </w:r>
            <w:r>
              <w:rPr>
                <w:rFonts w:ascii="宋体" w:hAnsi="宋体" w:cs="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设备信噪比：</w:t>
            </w:r>
            <w:r>
              <w:rPr>
                <w:rFonts w:ascii="宋体" w:hAnsi="宋体" w:cs="宋体"/>
                <w:color w:val="auto"/>
                <w:sz w:val="20"/>
                <w:szCs w:val="20"/>
              </w:rPr>
              <w:t xml:space="preserve">MIC </w:t>
            </w:r>
            <w:r>
              <w:rPr>
                <w:rFonts w:hint="eastAsia" w:ascii="宋体" w:hAnsi="宋体" w:cs="宋体"/>
                <w:color w:val="auto"/>
                <w:sz w:val="20"/>
                <w:szCs w:val="20"/>
              </w:rPr>
              <w:t>输入</w:t>
            </w:r>
            <w:r>
              <w:rPr>
                <w:rFonts w:ascii="宋体" w:hAnsi="宋体" w:cs="宋体"/>
                <w:color w:val="auto"/>
                <w:sz w:val="20"/>
                <w:szCs w:val="20"/>
              </w:rPr>
              <w:t>:</w:t>
            </w:r>
            <w:r>
              <w:rPr>
                <w:rFonts w:hint="eastAsia" w:ascii="宋体" w:hAnsi="宋体" w:cs="宋体"/>
                <w:color w:val="auto"/>
                <w:sz w:val="20"/>
                <w:szCs w:val="20"/>
              </w:rPr>
              <w:t>不低于</w:t>
            </w:r>
            <w:r>
              <w:rPr>
                <w:rFonts w:ascii="宋体" w:hAnsi="宋体" w:cs="宋体"/>
                <w:color w:val="auto"/>
                <w:sz w:val="20"/>
                <w:szCs w:val="20"/>
              </w:rPr>
              <w:t>60dB</w:t>
            </w:r>
            <w:r>
              <w:rPr>
                <w:rFonts w:hint="eastAsia" w:ascii="宋体" w:hAnsi="宋体" w:cs="宋体"/>
                <w:color w:val="auto"/>
                <w:sz w:val="20"/>
                <w:szCs w:val="20"/>
              </w:rPr>
              <w:t>；</w:t>
            </w:r>
            <w:r>
              <w:rPr>
                <w:rFonts w:ascii="宋体" w:hAnsi="宋体" w:cs="宋体"/>
                <w:color w:val="auto"/>
                <w:sz w:val="20"/>
                <w:szCs w:val="20"/>
              </w:rPr>
              <w:t xml:space="preserve"> AUX</w:t>
            </w:r>
            <w:r>
              <w:rPr>
                <w:rFonts w:hint="eastAsia" w:ascii="宋体" w:hAnsi="宋体" w:cs="宋体"/>
                <w:color w:val="auto"/>
                <w:sz w:val="20"/>
                <w:szCs w:val="20"/>
              </w:rPr>
              <w:t>输入</w:t>
            </w:r>
            <w:r>
              <w:rPr>
                <w:rFonts w:ascii="宋体" w:hAnsi="宋体" w:cs="宋体"/>
                <w:color w:val="auto"/>
                <w:sz w:val="20"/>
                <w:szCs w:val="20"/>
              </w:rPr>
              <w:t>:</w:t>
            </w:r>
            <w:r>
              <w:rPr>
                <w:rFonts w:hint="eastAsia" w:ascii="宋体" w:hAnsi="宋体" w:cs="宋体"/>
                <w:color w:val="auto"/>
                <w:sz w:val="20"/>
                <w:szCs w:val="20"/>
              </w:rPr>
              <w:t>不低于</w:t>
            </w:r>
            <w:r>
              <w:rPr>
                <w:rFonts w:ascii="宋体" w:hAnsi="宋体" w:cs="宋体"/>
                <w:color w:val="auto"/>
                <w:sz w:val="20"/>
                <w:szCs w:val="20"/>
              </w:rPr>
              <w:t>80dB</w:t>
            </w:r>
            <w:r>
              <w:rPr>
                <w:rFonts w:ascii="宋体" w:hAnsi="宋体" w:cs="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谐波失真：≤</w:t>
            </w:r>
            <w:r>
              <w:rPr>
                <w:rFonts w:ascii="宋体" w:hAnsi="宋体" w:cs="宋体"/>
                <w:color w:val="auto"/>
                <w:sz w:val="20"/>
                <w:szCs w:val="20"/>
              </w:rPr>
              <w:t>0.3%</w:t>
            </w:r>
          </w:p>
          <w:p>
            <w:pPr>
              <w:widowControl/>
              <w:jc w:val="left"/>
              <w:rPr>
                <w:rFonts w:ascii="宋体"/>
                <w:color w:val="auto"/>
                <w:sz w:val="20"/>
                <w:szCs w:val="20"/>
              </w:rPr>
            </w:pPr>
            <w:r>
              <w:rPr>
                <w:color w:val="auto"/>
              </w:rPr>
              <w:t>11.</w:t>
            </w:r>
            <w:r>
              <w:rPr>
                <w:rFonts w:hint="eastAsia" w:cs="宋体"/>
                <w:color w:val="auto"/>
              </w:rPr>
              <w:t>设备音调调节：低音</w:t>
            </w:r>
            <w:r>
              <w:rPr>
                <w:color w:val="auto"/>
              </w:rPr>
              <w:t>:</w:t>
            </w:r>
            <w:r>
              <w:rPr>
                <w:rFonts w:hint="eastAsia" w:cs="宋体"/>
                <w:color w:val="auto"/>
              </w:rPr>
              <w:t>±</w:t>
            </w:r>
            <w:r>
              <w:rPr>
                <w:color w:val="auto"/>
              </w:rPr>
              <w:t>10dB at 100Hz</w:t>
            </w:r>
            <w:r>
              <w:rPr>
                <w:rFonts w:hint="eastAsia" w:cs="宋体"/>
                <w:color w:val="auto"/>
              </w:rPr>
              <w:t>；高音</w:t>
            </w:r>
            <w:r>
              <w:rPr>
                <w:color w:val="auto"/>
              </w:rPr>
              <w:t>:</w:t>
            </w:r>
            <w:r>
              <w:rPr>
                <w:rFonts w:hint="eastAsia" w:cs="宋体"/>
                <w:color w:val="auto"/>
              </w:rPr>
              <w:t>±</w:t>
            </w:r>
            <w:r>
              <w:rPr>
                <w:color w:val="auto"/>
              </w:rPr>
              <w:t>10dB at 10KHz</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cs="宋体"/>
                <w:color w:val="auto"/>
                <w:sz w:val="20"/>
                <w:szCs w:val="20"/>
              </w:rPr>
              <w:t>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cs="宋体"/>
                <w:color w:val="auto"/>
                <w:sz w:val="20"/>
                <w:szCs w:val="20"/>
              </w:rPr>
              <w:t>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r>
      <w:tr>
        <w:tblPrEx>
          <w:tblCellMar>
            <w:top w:w="0" w:type="dxa"/>
            <w:left w:w="108" w:type="dxa"/>
            <w:bottom w:w="0" w:type="dxa"/>
            <w:right w:w="108" w:type="dxa"/>
          </w:tblCellMar>
        </w:tblPrEx>
        <w:trPr>
          <w:trHeight w:val="33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CD</w:t>
            </w:r>
            <w:r>
              <w:rPr>
                <w:rFonts w:hint="eastAsia" w:ascii="宋体" w:hAnsi="宋体" w:cs="宋体"/>
                <w:color w:val="auto"/>
                <w:sz w:val="20"/>
                <w:szCs w:val="20"/>
              </w:rPr>
              <w:t>播放器</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设备带有</w:t>
            </w:r>
            <w:r>
              <w:rPr>
                <w:rFonts w:ascii="宋体" w:hAnsi="宋体" w:cs="宋体"/>
                <w:color w:val="auto"/>
                <w:sz w:val="20"/>
                <w:szCs w:val="20"/>
              </w:rPr>
              <w:t>1</w:t>
            </w:r>
            <w:r>
              <w:rPr>
                <w:rFonts w:hint="eastAsia" w:ascii="宋体" w:hAnsi="宋体" w:cs="宋体"/>
                <w:color w:val="auto"/>
                <w:sz w:val="20"/>
                <w:szCs w:val="20"/>
              </w:rPr>
              <w:t>路音频信号左右声道（</w:t>
            </w:r>
            <w:r>
              <w:rPr>
                <w:rFonts w:ascii="宋体" w:hAnsi="宋体" w:cs="宋体"/>
                <w:color w:val="auto"/>
                <w:sz w:val="20"/>
                <w:szCs w:val="20"/>
              </w:rPr>
              <w:t>L /R</w:t>
            </w:r>
            <w:r>
              <w:rPr>
                <w:rFonts w:hint="eastAsia" w:ascii="宋体" w:hAnsi="宋体" w:cs="宋体"/>
                <w:color w:val="auto"/>
                <w:sz w:val="20"/>
                <w:szCs w:val="20"/>
              </w:rPr>
              <w:t>）输出。</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设备内置宽频高保真监听扬声器。并设有监听音量调节旋钮，音量可调。</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设备支持微电脑控制，支持轻触式面板按键操作、或红外遥控器控制操作。</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设备采用标准机箱尺寸设计，</w:t>
            </w:r>
            <w:r>
              <w:rPr>
                <w:rFonts w:ascii="宋体" w:hAnsi="宋体" w:cs="宋体"/>
                <w:color w:val="auto"/>
                <w:sz w:val="20"/>
                <w:szCs w:val="20"/>
              </w:rPr>
              <w:t>1U</w:t>
            </w:r>
            <w:r>
              <w:rPr>
                <w:rFonts w:hint="eastAsia" w:ascii="宋体" w:hAnsi="宋体" w:cs="宋体"/>
                <w:color w:val="auto"/>
                <w:sz w:val="20"/>
                <w:szCs w:val="20"/>
              </w:rPr>
              <w:t>高度。</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设备支持上电自动播放功能。</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设备支持自动播放控制，全数码伺服。</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设备可播放：</w:t>
            </w:r>
            <w:r>
              <w:rPr>
                <w:rFonts w:ascii="宋体" w:hAnsi="宋体" w:cs="宋体"/>
                <w:color w:val="auto"/>
                <w:sz w:val="20"/>
                <w:szCs w:val="20"/>
              </w:rPr>
              <w:t>CD/VCD/ MP3/DVD</w:t>
            </w:r>
            <w:r>
              <w:rPr>
                <w:rFonts w:hint="eastAsia" w:ascii="宋体" w:hAnsi="宋体" w:cs="宋体"/>
                <w:color w:val="auto"/>
                <w:sz w:val="20"/>
                <w:szCs w:val="20"/>
              </w:rPr>
              <w:t>碟片；设备内置</w:t>
            </w:r>
            <w:r>
              <w:rPr>
                <w:rFonts w:ascii="宋体" w:hAnsi="宋体" w:cs="宋体"/>
                <w:color w:val="auto"/>
                <w:sz w:val="20"/>
                <w:szCs w:val="20"/>
              </w:rPr>
              <w:t>MP3</w:t>
            </w:r>
            <w:r>
              <w:rPr>
                <w:rFonts w:hint="eastAsia" w:ascii="宋体" w:hAnsi="宋体" w:cs="宋体"/>
                <w:color w:val="auto"/>
                <w:sz w:val="20"/>
                <w:szCs w:val="20"/>
              </w:rPr>
              <w:t>播放器，可读</w:t>
            </w:r>
            <w:r>
              <w:rPr>
                <w:rFonts w:ascii="宋体" w:hAnsi="宋体" w:cs="宋体"/>
                <w:color w:val="auto"/>
                <w:sz w:val="20"/>
                <w:szCs w:val="20"/>
              </w:rPr>
              <w:t>USB</w:t>
            </w:r>
            <w:r>
              <w:rPr>
                <w:rFonts w:hint="eastAsia" w:ascii="宋体" w:hAnsi="宋体" w:cs="宋体"/>
                <w:color w:val="auto"/>
                <w:sz w:val="20"/>
                <w:szCs w:val="20"/>
              </w:rPr>
              <w:t>和</w:t>
            </w:r>
            <w:r>
              <w:rPr>
                <w:rFonts w:ascii="宋体" w:hAnsi="宋体" w:cs="宋体"/>
                <w:color w:val="auto"/>
                <w:sz w:val="20"/>
                <w:szCs w:val="20"/>
              </w:rPr>
              <w:t>SD</w:t>
            </w:r>
            <w:r>
              <w:rPr>
                <w:rFonts w:hint="eastAsia" w:ascii="宋体" w:hAnsi="宋体" w:cs="宋体"/>
                <w:color w:val="auto"/>
                <w:sz w:val="20"/>
                <w:szCs w:val="20"/>
              </w:rPr>
              <w:t>卡。</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设备采用吸入式机芯。采用进口数码机芯，系统</w:t>
            </w:r>
            <w:r>
              <w:rPr>
                <w:rFonts w:ascii="宋体" w:hAnsi="宋体" w:cs="宋体"/>
                <w:color w:val="auto"/>
                <w:sz w:val="20"/>
                <w:szCs w:val="20"/>
              </w:rPr>
              <w:t>+ESS</w:t>
            </w:r>
            <w:r>
              <w:rPr>
                <w:rFonts w:hint="eastAsia" w:ascii="宋体" w:hAnsi="宋体" w:cs="宋体"/>
                <w:color w:val="auto"/>
                <w:sz w:val="20"/>
                <w:szCs w:val="20"/>
              </w:rPr>
              <w:t>解码方案，超强纠错功能。</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w:t>
            </w:r>
          </w:p>
        </w:tc>
      </w:tr>
      <w:tr>
        <w:tblPrEx>
          <w:tblCellMar>
            <w:top w:w="0" w:type="dxa"/>
            <w:left w:w="108" w:type="dxa"/>
            <w:bottom w:w="0" w:type="dxa"/>
            <w:right w:w="108" w:type="dxa"/>
          </w:tblCellMar>
        </w:tblPrEx>
        <w:trPr>
          <w:trHeight w:val="458"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音频采集器</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设备音频格式：</w:t>
            </w:r>
            <w:r>
              <w:rPr>
                <w:rFonts w:ascii="宋体" w:hAnsi="宋体" w:cs="宋体"/>
                <w:color w:val="auto"/>
                <w:sz w:val="20"/>
                <w:szCs w:val="20"/>
              </w:rPr>
              <w:t>MP3</w:t>
            </w:r>
            <w:r>
              <w:rPr>
                <w:rFonts w:hint="eastAsia" w:ascii="宋体" w:hAnsi="宋体" w:cs="宋体"/>
                <w:color w:val="auto"/>
                <w:sz w:val="20"/>
                <w:szCs w:val="20"/>
              </w:rPr>
              <w:t>、</w:t>
            </w:r>
            <w:r>
              <w:rPr>
                <w:rFonts w:ascii="宋体" w:hAnsi="宋体" w:cs="宋体"/>
                <w:color w:val="auto"/>
                <w:sz w:val="20"/>
                <w:szCs w:val="20"/>
              </w:rPr>
              <w:t>PCM</w:t>
            </w:r>
            <w:r>
              <w:rPr>
                <w:rFonts w:hint="eastAsia" w:ascii="宋体" w:hAnsi="宋体" w:cs="宋体"/>
                <w:color w:val="auto"/>
                <w:sz w:val="20"/>
                <w:szCs w:val="20"/>
              </w:rPr>
              <w:t>；设备采样率：</w:t>
            </w:r>
            <w:r>
              <w:rPr>
                <w:rFonts w:ascii="宋体" w:hAnsi="宋体" w:cs="宋体"/>
                <w:color w:val="auto"/>
                <w:sz w:val="20"/>
                <w:szCs w:val="20"/>
              </w:rPr>
              <w:t>8KHz~48KHz</w:t>
            </w:r>
            <w:r>
              <w:rPr>
                <w:rFonts w:hint="eastAsia" w:ascii="宋体" w:hAnsi="宋体" w:cs="宋体"/>
                <w:color w:val="auto"/>
                <w:sz w:val="20"/>
                <w:szCs w:val="20"/>
              </w:rPr>
              <w:t>；设备音频模式：</w:t>
            </w:r>
            <w:r>
              <w:rPr>
                <w:rFonts w:ascii="宋体" w:hAnsi="宋体" w:cs="宋体"/>
                <w:color w:val="auto"/>
                <w:sz w:val="20"/>
                <w:szCs w:val="20"/>
              </w:rPr>
              <w:t>ADPCM PCM</w:t>
            </w:r>
            <w:r>
              <w:rPr>
                <w:rFonts w:ascii="宋体" w:hAnsi="宋体" w:cs="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设备输入频率：</w:t>
            </w:r>
            <w:r>
              <w:rPr>
                <w:rFonts w:ascii="宋体" w:hAnsi="宋体" w:cs="宋体"/>
                <w:color w:val="auto"/>
                <w:sz w:val="20"/>
                <w:szCs w:val="20"/>
              </w:rPr>
              <w:t>80Hz</w:t>
            </w:r>
            <w:r>
              <w:rPr>
                <w:rFonts w:hint="eastAsia" w:ascii="宋体" w:hAnsi="宋体" w:cs="宋体"/>
                <w:color w:val="auto"/>
                <w:sz w:val="20"/>
                <w:szCs w:val="20"/>
              </w:rPr>
              <w:t>～</w:t>
            </w:r>
            <w:r>
              <w:rPr>
                <w:rFonts w:ascii="宋体" w:hAnsi="宋体" w:cs="宋体"/>
                <w:color w:val="auto"/>
                <w:sz w:val="20"/>
                <w:szCs w:val="20"/>
              </w:rPr>
              <w:t>16KHz   +1/-3dB</w:t>
            </w:r>
            <w:r>
              <w:rPr>
                <w:rFonts w:hint="eastAsia" w:ascii="宋体" w:hAnsi="宋体" w:cs="宋体"/>
                <w:color w:val="auto"/>
                <w:sz w:val="20"/>
                <w:szCs w:val="20"/>
              </w:rPr>
              <w:t>；设备</w:t>
            </w:r>
            <w:r>
              <w:rPr>
                <w:rFonts w:ascii="宋体" w:hAnsi="宋体" w:cs="宋体"/>
                <w:color w:val="auto"/>
                <w:sz w:val="20"/>
                <w:szCs w:val="20"/>
              </w:rPr>
              <w:t>AUX</w:t>
            </w:r>
            <w:r>
              <w:rPr>
                <w:rFonts w:hint="eastAsia" w:ascii="宋体" w:hAnsi="宋体" w:cs="宋体"/>
                <w:color w:val="auto"/>
                <w:sz w:val="20"/>
                <w:szCs w:val="20"/>
              </w:rPr>
              <w:t>输入灵敏度：不低于</w:t>
            </w:r>
            <w:r>
              <w:rPr>
                <w:rFonts w:ascii="宋体" w:hAnsi="宋体" w:cs="宋体"/>
                <w:color w:val="auto"/>
                <w:sz w:val="20"/>
                <w:szCs w:val="20"/>
              </w:rPr>
              <w:t xml:space="preserve">350mV </w:t>
            </w:r>
            <w:r>
              <w:rPr>
                <w:rFonts w:hint="eastAsia" w:ascii="宋体" w:hAnsi="宋体" w:cs="宋体"/>
                <w:color w:val="auto"/>
                <w:sz w:val="20"/>
                <w:szCs w:val="20"/>
              </w:rPr>
              <w:t>标准莲花座输入接口（非平衡）；设备</w:t>
            </w:r>
            <w:r>
              <w:rPr>
                <w:rFonts w:ascii="宋体" w:hAnsi="宋体" w:cs="宋体"/>
                <w:color w:val="auto"/>
                <w:sz w:val="20"/>
                <w:szCs w:val="20"/>
              </w:rPr>
              <w:t>AUX</w:t>
            </w:r>
            <w:r>
              <w:rPr>
                <w:rFonts w:hint="eastAsia" w:ascii="宋体" w:hAnsi="宋体" w:cs="宋体"/>
                <w:color w:val="auto"/>
                <w:sz w:val="20"/>
                <w:szCs w:val="20"/>
              </w:rPr>
              <w:t>声压触发阀值：≥</w:t>
            </w:r>
            <w:r>
              <w:rPr>
                <w:rFonts w:ascii="宋体" w:hAnsi="宋体" w:cs="宋体"/>
                <w:color w:val="auto"/>
                <w:sz w:val="20"/>
                <w:szCs w:val="20"/>
              </w:rPr>
              <w:t>10MV</w:t>
            </w:r>
            <w:r>
              <w:rPr>
                <w:rFonts w:ascii="宋体" w:hAnsi="宋体" w:cs="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设备专为</w:t>
            </w:r>
            <w:r>
              <w:rPr>
                <w:rFonts w:ascii="宋体" w:hAnsi="宋体" w:cs="宋体"/>
                <w:color w:val="auto"/>
                <w:sz w:val="20"/>
                <w:szCs w:val="20"/>
              </w:rPr>
              <w:t>IP</w:t>
            </w:r>
            <w:r>
              <w:rPr>
                <w:rFonts w:hint="eastAsia" w:ascii="宋体" w:hAnsi="宋体" w:cs="宋体"/>
                <w:color w:val="auto"/>
                <w:sz w:val="20"/>
                <w:szCs w:val="20"/>
              </w:rPr>
              <w:t>网络广播系统采集外部模拟音频信号设计。</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设备可将模拟音频采集编码成数字音频，通过网络传输到指定区域终端播放。</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设备网络接口</w:t>
            </w:r>
            <w:r>
              <w:rPr>
                <w:rFonts w:ascii="宋体" w:hAnsi="宋体" w:cs="宋体"/>
                <w:color w:val="auto"/>
                <w:sz w:val="20"/>
                <w:szCs w:val="20"/>
              </w:rPr>
              <w:t>:</w:t>
            </w:r>
            <w:r>
              <w:rPr>
                <w:rFonts w:hint="eastAsia" w:ascii="宋体" w:hAnsi="宋体" w:cs="宋体"/>
                <w:color w:val="auto"/>
                <w:sz w:val="20"/>
                <w:szCs w:val="20"/>
              </w:rPr>
              <w:t>标准</w:t>
            </w:r>
            <w:r>
              <w:rPr>
                <w:rFonts w:ascii="宋体" w:hAnsi="宋体" w:cs="宋体"/>
                <w:color w:val="auto"/>
                <w:sz w:val="20"/>
                <w:szCs w:val="20"/>
              </w:rPr>
              <w:t>RJ45</w:t>
            </w:r>
            <w:r>
              <w:rPr>
                <w:rFonts w:hint="eastAsia" w:ascii="宋体" w:hAnsi="宋体" w:cs="宋体"/>
                <w:color w:val="auto"/>
                <w:sz w:val="20"/>
                <w:szCs w:val="20"/>
              </w:rPr>
              <w:t>输入；传输速率：不低于</w:t>
            </w:r>
            <w:r>
              <w:rPr>
                <w:rFonts w:ascii="宋体" w:hAnsi="宋体" w:cs="宋体"/>
                <w:color w:val="auto"/>
                <w:sz w:val="20"/>
                <w:szCs w:val="20"/>
              </w:rPr>
              <w:t>100Mbps</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设备采用数字音频处理技术设计。</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设备支持不低于</w:t>
            </w:r>
            <w:r>
              <w:rPr>
                <w:rFonts w:ascii="宋体" w:hAnsi="宋体" w:cs="宋体"/>
                <w:color w:val="auto"/>
                <w:sz w:val="20"/>
                <w:szCs w:val="20"/>
              </w:rPr>
              <w:t>5</w:t>
            </w:r>
            <w:r>
              <w:rPr>
                <w:rFonts w:hint="eastAsia" w:ascii="宋体" w:hAnsi="宋体" w:cs="宋体"/>
                <w:color w:val="auto"/>
                <w:sz w:val="20"/>
                <w:szCs w:val="20"/>
              </w:rPr>
              <w:t>分区独立触发打开或关闭采集功能，面板带有不低于</w:t>
            </w:r>
            <w:r>
              <w:rPr>
                <w:rFonts w:ascii="宋体" w:hAnsi="宋体" w:cs="宋体"/>
                <w:color w:val="auto"/>
                <w:sz w:val="20"/>
                <w:szCs w:val="20"/>
              </w:rPr>
              <w:t>5</w:t>
            </w:r>
            <w:r>
              <w:rPr>
                <w:rFonts w:hint="eastAsia" w:ascii="宋体" w:hAnsi="宋体" w:cs="宋体"/>
                <w:color w:val="auto"/>
                <w:sz w:val="20"/>
                <w:szCs w:val="20"/>
              </w:rPr>
              <w:t>个分区触发按键及指示灯。支持路由器、交换机、网桥网关、</w:t>
            </w:r>
            <w:r>
              <w:rPr>
                <w:rFonts w:ascii="宋体" w:hAnsi="宋体" w:cs="宋体"/>
                <w:color w:val="auto"/>
                <w:sz w:val="20"/>
                <w:szCs w:val="20"/>
              </w:rPr>
              <w:t>Modem</w:t>
            </w:r>
            <w:r>
              <w:rPr>
                <w:rFonts w:hint="eastAsia" w:ascii="宋体" w:hAnsi="宋体" w:cs="宋体"/>
                <w:color w:val="auto"/>
                <w:sz w:val="20"/>
                <w:szCs w:val="20"/>
              </w:rPr>
              <w:t>、</w:t>
            </w:r>
            <w:r>
              <w:rPr>
                <w:rFonts w:ascii="宋体" w:hAnsi="宋体" w:cs="宋体"/>
                <w:color w:val="auto"/>
                <w:sz w:val="20"/>
                <w:szCs w:val="20"/>
              </w:rPr>
              <w:t>Internet</w:t>
            </w:r>
            <w:r>
              <w:rPr>
                <w:rFonts w:hint="eastAsia" w:ascii="宋体" w:hAnsi="宋体" w:cs="宋体"/>
                <w:color w:val="auto"/>
                <w:sz w:val="20"/>
                <w:szCs w:val="20"/>
              </w:rPr>
              <w:t>、</w:t>
            </w:r>
            <w:r>
              <w:rPr>
                <w:rFonts w:ascii="宋体" w:hAnsi="宋体" w:cs="宋体"/>
                <w:color w:val="auto"/>
                <w:sz w:val="20"/>
                <w:szCs w:val="20"/>
              </w:rPr>
              <w:t>2G</w:t>
            </w:r>
            <w:r>
              <w:rPr>
                <w:rFonts w:hint="eastAsia" w:ascii="宋体" w:hAnsi="宋体" w:cs="宋体"/>
                <w:color w:val="auto"/>
                <w:sz w:val="20"/>
                <w:szCs w:val="20"/>
              </w:rPr>
              <w:t>、</w:t>
            </w:r>
            <w:r>
              <w:rPr>
                <w:rFonts w:ascii="宋体" w:hAnsi="宋体" w:cs="宋体"/>
                <w:color w:val="auto"/>
                <w:sz w:val="20"/>
                <w:szCs w:val="20"/>
              </w:rPr>
              <w:t>3G</w:t>
            </w:r>
            <w:r>
              <w:rPr>
                <w:rFonts w:hint="eastAsia" w:ascii="宋体" w:hAnsi="宋体" w:cs="宋体"/>
                <w:color w:val="auto"/>
                <w:sz w:val="20"/>
                <w:szCs w:val="20"/>
              </w:rPr>
              <w:t>、</w:t>
            </w:r>
            <w:r>
              <w:rPr>
                <w:rFonts w:ascii="宋体" w:hAnsi="宋体" w:cs="宋体"/>
                <w:color w:val="auto"/>
                <w:sz w:val="20"/>
                <w:szCs w:val="20"/>
              </w:rPr>
              <w:t>4G</w:t>
            </w:r>
            <w:r>
              <w:rPr>
                <w:rFonts w:hint="eastAsia" w:ascii="宋体" w:hAnsi="宋体" w:cs="宋体"/>
                <w:color w:val="auto"/>
                <w:sz w:val="20"/>
                <w:szCs w:val="20"/>
              </w:rPr>
              <w:t>等任意网络结构。支持广播系统对终端进行远程固件升级。</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设备采播模式：支持“普通采播”、“中级采播”和“高级采播”三种采播模式，支持</w:t>
            </w:r>
            <w:r>
              <w:rPr>
                <w:rFonts w:ascii="宋体" w:hAnsi="宋体" w:cs="宋体"/>
                <w:color w:val="auto"/>
                <w:sz w:val="20"/>
                <w:szCs w:val="20"/>
              </w:rPr>
              <w:t>TCP/IP</w:t>
            </w:r>
            <w:r>
              <w:rPr>
                <w:rFonts w:hint="eastAsia" w:ascii="宋体" w:hAnsi="宋体" w:cs="宋体"/>
                <w:color w:val="auto"/>
                <w:sz w:val="20"/>
                <w:szCs w:val="20"/>
              </w:rPr>
              <w:t>、</w:t>
            </w:r>
            <w:r>
              <w:rPr>
                <w:rFonts w:ascii="宋体" w:hAnsi="宋体" w:cs="宋体"/>
                <w:color w:val="auto"/>
                <w:sz w:val="20"/>
                <w:szCs w:val="20"/>
              </w:rPr>
              <w:t>UDP</w:t>
            </w:r>
            <w:r>
              <w:rPr>
                <w:rFonts w:hint="eastAsia" w:ascii="宋体" w:hAnsi="宋体" w:cs="宋体"/>
                <w:color w:val="auto"/>
                <w:sz w:val="20"/>
                <w:szCs w:val="20"/>
              </w:rPr>
              <w:t>协议。</w:t>
            </w:r>
            <w:r>
              <w:rPr>
                <w:rFonts w:ascii="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谐波失真：≤</w:t>
            </w:r>
            <w:r>
              <w:rPr>
                <w:rFonts w:ascii="宋体" w:hAnsi="宋体" w:cs="宋体"/>
                <w:color w:val="auto"/>
                <w:sz w:val="20"/>
                <w:szCs w:val="20"/>
              </w:rPr>
              <w:t>0.3%</w:t>
            </w:r>
            <w:r>
              <w:rPr>
                <w:rFonts w:ascii="宋体" w:hAnsi="宋体" w:cs="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信噪比：≥</w:t>
            </w:r>
            <w:r>
              <w:rPr>
                <w:rFonts w:ascii="宋体" w:hAnsi="宋体" w:cs="宋体"/>
                <w:color w:val="auto"/>
                <w:sz w:val="20"/>
                <w:szCs w:val="20"/>
              </w:rPr>
              <w:t>68dB</w:t>
            </w:r>
            <w:r>
              <w:rPr>
                <w:rFonts w:ascii="宋体" w:hAnsi="宋体" w:cs="宋体"/>
                <w:color w:val="auto"/>
                <w:sz w:val="20"/>
                <w:szCs w:val="20"/>
              </w:rPr>
              <w:br w:type="textWrapping"/>
            </w:r>
            <w:r>
              <w:rPr>
                <w:rFonts w:ascii="宋体" w:hAnsi="宋体" w:cs="宋体"/>
                <w:color w:val="auto"/>
                <w:sz w:val="20"/>
                <w:szCs w:val="20"/>
              </w:rPr>
              <w:t>11.</w:t>
            </w:r>
            <w:r>
              <w:rPr>
                <w:rFonts w:hint="eastAsia" w:ascii="宋体" w:hAnsi="宋体" w:cs="宋体"/>
                <w:color w:val="auto"/>
                <w:sz w:val="20"/>
                <w:szCs w:val="20"/>
              </w:rPr>
              <w:t>设备内置网络硬件音频编码模块：</w:t>
            </w:r>
            <w:r>
              <w:rPr>
                <w:rFonts w:ascii="宋体" w:hAnsi="宋体" w:cs="宋体"/>
                <w:color w:val="auto"/>
                <w:sz w:val="20"/>
                <w:szCs w:val="20"/>
              </w:rPr>
              <w:t>1</w:t>
            </w:r>
            <w:r>
              <w:rPr>
                <w:rFonts w:hint="eastAsia" w:ascii="宋体" w:hAnsi="宋体" w:cs="宋体"/>
                <w:color w:val="auto"/>
                <w:sz w:val="20"/>
                <w:szCs w:val="20"/>
              </w:rPr>
              <w:t>路</w:t>
            </w:r>
            <w:r>
              <w:rPr>
                <w:rFonts w:ascii="宋体"/>
                <w:color w:val="auto"/>
                <w:sz w:val="20"/>
                <w:szCs w:val="20"/>
              </w:rPr>
              <w:br w:type="textWrapping"/>
            </w:r>
            <w:r>
              <w:rPr>
                <w:rFonts w:ascii="宋体" w:hAnsi="宋体" w:cs="宋体"/>
                <w:color w:val="auto"/>
                <w:sz w:val="20"/>
                <w:szCs w:val="20"/>
              </w:rPr>
              <w:t>12.</w:t>
            </w:r>
            <w:r>
              <w:rPr>
                <w:rFonts w:hint="eastAsia" w:ascii="宋体" w:hAnsi="宋体" w:cs="宋体"/>
                <w:color w:val="auto"/>
                <w:sz w:val="20"/>
                <w:szCs w:val="20"/>
              </w:rPr>
              <w:t>实现网络化传输</w:t>
            </w:r>
            <w:r>
              <w:rPr>
                <w:rFonts w:ascii="宋体" w:hAnsi="宋体" w:cs="宋体"/>
                <w:color w:val="auto"/>
                <w:sz w:val="20"/>
                <w:szCs w:val="20"/>
              </w:rPr>
              <w:t>16</w:t>
            </w:r>
            <w:r>
              <w:rPr>
                <w:rFonts w:hint="eastAsia" w:ascii="宋体" w:hAnsi="宋体" w:cs="宋体"/>
                <w:color w:val="auto"/>
                <w:sz w:val="20"/>
                <w:szCs w:val="20"/>
              </w:rPr>
              <w:t>位</w:t>
            </w:r>
            <w:r>
              <w:rPr>
                <w:rFonts w:ascii="宋体" w:hAnsi="宋体" w:cs="宋体"/>
                <w:color w:val="auto"/>
                <w:sz w:val="20"/>
                <w:szCs w:val="20"/>
              </w:rPr>
              <w:t>CD</w:t>
            </w:r>
            <w:r>
              <w:rPr>
                <w:rFonts w:hint="eastAsia" w:ascii="宋体" w:hAnsi="宋体" w:cs="宋体"/>
                <w:color w:val="auto"/>
                <w:sz w:val="20"/>
                <w:szCs w:val="20"/>
              </w:rPr>
              <w:t>音质的音频信号：支持</w:t>
            </w:r>
            <w:r>
              <w:rPr>
                <w:rFonts w:ascii="宋体"/>
                <w:color w:val="auto"/>
                <w:sz w:val="20"/>
                <w:szCs w:val="20"/>
              </w:rPr>
              <w:br w:type="textWrapping"/>
            </w:r>
            <w:r>
              <w:rPr>
                <w:rFonts w:ascii="宋体" w:hAnsi="宋体" w:cs="宋体"/>
                <w:color w:val="auto"/>
                <w:sz w:val="20"/>
                <w:szCs w:val="20"/>
              </w:rPr>
              <w:t>13.</w:t>
            </w:r>
            <w:r>
              <w:rPr>
                <w:rFonts w:hint="eastAsia" w:ascii="宋体" w:hAnsi="宋体" w:cs="宋体"/>
                <w:color w:val="auto"/>
                <w:sz w:val="20"/>
                <w:szCs w:val="20"/>
              </w:rPr>
              <w:t>采播任务：支持通过服务器设置实现定时采播任务、临时采播任务。</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192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电源管理器</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设备电源插口总容量不低于</w:t>
            </w:r>
            <w:r>
              <w:rPr>
                <w:rFonts w:ascii="宋体" w:hAnsi="宋体" w:cs="宋体"/>
                <w:color w:val="auto"/>
                <w:sz w:val="20"/>
                <w:szCs w:val="20"/>
              </w:rPr>
              <w:t>6000W</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具有不低于</w:t>
            </w:r>
            <w:r>
              <w:rPr>
                <w:rFonts w:ascii="宋体" w:hAnsi="宋体" w:cs="宋体"/>
                <w:color w:val="auto"/>
                <w:sz w:val="20"/>
                <w:szCs w:val="20"/>
              </w:rPr>
              <w:t>16</w:t>
            </w:r>
            <w:r>
              <w:rPr>
                <w:rFonts w:hint="eastAsia" w:ascii="宋体" w:hAnsi="宋体" w:cs="宋体"/>
                <w:color w:val="auto"/>
                <w:sz w:val="20"/>
                <w:szCs w:val="20"/>
              </w:rPr>
              <w:t>路电源输出：具有不低于</w:t>
            </w:r>
            <w:r>
              <w:rPr>
                <w:rFonts w:ascii="宋体" w:hAnsi="宋体" w:cs="宋体"/>
                <w:color w:val="auto"/>
                <w:sz w:val="20"/>
                <w:szCs w:val="20"/>
              </w:rPr>
              <w:t>14</w:t>
            </w:r>
            <w:r>
              <w:rPr>
                <w:rFonts w:hint="eastAsia" w:ascii="宋体" w:hAnsi="宋体" w:cs="宋体"/>
                <w:color w:val="auto"/>
                <w:sz w:val="20"/>
                <w:szCs w:val="20"/>
              </w:rPr>
              <w:t>个</w:t>
            </w:r>
            <w:r>
              <w:rPr>
                <w:rFonts w:ascii="宋体" w:hAnsi="宋体" w:cs="宋体"/>
                <w:color w:val="auto"/>
                <w:sz w:val="20"/>
                <w:szCs w:val="20"/>
              </w:rPr>
              <w:t>AC220V(10A)</w:t>
            </w:r>
            <w:r>
              <w:rPr>
                <w:rFonts w:hint="eastAsia" w:ascii="宋体" w:hAnsi="宋体" w:cs="宋体"/>
                <w:color w:val="auto"/>
                <w:sz w:val="20"/>
                <w:szCs w:val="20"/>
              </w:rPr>
              <w:t>，不低于</w:t>
            </w:r>
            <w:r>
              <w:rPr>
                <w:rFonts w:ascii="宋体" w:hAnsi="宋体" w:cs="宋体"/>
                <w:color w:val="auto"/>
                <w:sz w:val="20"/>
                <w:szCs w:val="20"/>
              </w:rPr>
              <w:t>2</w:t>
            </w:r>
            <w:r>
              <w:rPr>
                <w:rFonts w:hint="eastAsia" w:ascii="宋体" w:hAnsi="宋体" w:cs="宋体"/>
                <w:color w:val="auto"/>
                <w:sz w:val="20"/>
                <w:szCs w:val="20"/>
              </w:rPr>
              <w:t>个</w:t>
            </w:r>
            <w:r>
              <w:rPr>
                <w:rFonts w:ascii="宋体" w:hAnsi="宋体" w:cs="宋体"/>
                <w:color w:val="auto"/>
                <w:sz w:val="20"/>
                <w:szCs w:val="20"/>
              </w:rPr>
              <w:t>AC220V(16A)</w:t>
            </w:r>
            <w:r>
              <w:rPr>
                <w:rFonts w:hint="eastAsia" w:ascii="宋体" w:hAnsi="宋体" w:cs="宋体"/>
                <w:color w:val="auto"/>
                <w:sz w:val="20"/>
                <w:szCs w:val="20"/>
              </w:rPr>
              <w:t>接口</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支持配置</w:t>
            </w:r>
            <w:r>
              <w:rPr>
                <w:rFonts w:ascii="宋体" w:hAnsi="宋体" w:cs="宋体"/>
                <w:color w:val="auto"/>
                <w:sz w:val="20"/>
                <w:szCs w:val="20"/>
              </w:rPr>
              <w:t>CH1</w:t>
            </w:r>
            <w:r>
              <w:rPr>
                <w:rFonts w:hint="eastAsia" w:ascii="宋体" w:hAnsi="宋体" w:cs="宋体"/>
                <w:color w:val="auto"/>
                <w:sz w:val="20"/>
                <w:szCs w:val="20"/>
              </w:rPr>
              <w:t>和</w:t>
            </w:r>
            <w:r>
              <w:rPr>
                <w:rFonts w:ascii="宋体" w:hAnsi="宋体" w:cs="宋体"/>
                <w:color w:val="auto"/>
                <w:sz w:val="20"/>
                <w:szCs w:val="20"/>
              </w:rPr>
              <w:t>CH2</w:t>
            </w:r>
            <w:r>
              <w:rPr>
                <w:rFonts w:hint="eastAsia" w:ascii="宋体" w:hAnsi="宋体" w:cs="宋体"/>
                <w:color w:val="auto"/>
                <w:sz w:val="20"/>
                <w:szCs w:val="20"/>
              </w:rPr>
              <w:t>通道为受控或不受控状态，支持</w:t>
            </w:r>
            <w:r>
              <w:rPr>
                <w:rFonts w:ascii="宋体" w:hAnsi="宋体" w:cs="宋体"/>
                <w:color w:val="auto"/>
                <w:sz w:val="20"/>
                <w:szCs w:val="20"/>
              </w:rPr>
              <w:t>1</w:t>
            </w:r>
            <w:r>
              <w:rPr>
                <w:rFonts w:hint="eastAsia" w:ascii="宋体" w:hAnsi="宋体" w:cs="宋体"/>
                <w:color w:val="auto"/>
                <w:sz w:val="20"/>
                <w:szCs w:val="20"/>
              </w:rPr>
              <w:t>路</w:t>
            </w:r>
            <w:r>
              <w:rPr>
                <w:rFonts w:ascii="宋体" w:hAnsi="宋体" w:cs="宋体"/>
                <w:color w:val="auto"/>
                <w:sz w:val="20"/>
                <w:szCs w:val="20"/>
              </w:rPr>
              <w:t>24V</w:t>
            </w:r>
            <w:r>
              <w:rPr>
                <w:rFonts w:hint="eastAsia" w:ascii="宋体" w:hAnsi="宋体" w:cs="宋体"/>
                <w:color w:val="auto"/>
                <w:sz w:val="20"/>
                <w:szCs w:val="20"/>
              </w:rPr>
              <w:t>消防信号输入接口，支持</w:t>
            </w:r>
            <w:r>
              <w:rPr>
                <w:rFonts w:ascii="宋体" w:hAnsi="宋体" w:cs="宋体"/>
                <w:color w:val="auto"/>
                <w:sz w:val="20"/>
                <w:szCs w:val="20"/>
              </w:rPr>
              <w:t>1</w:t>
            </w:r>
            <w:r>
              <w:rPr>
                <w:rFonts w:hint="eastAsia" w:ascii="宋体" w:hAnsi="宋体" w:cs="宋体"/>
                <w:color w:val="auto"/>
                <w:sz w:val="20"/>
                <w:szCs w:val="20"/>
              </w:rPr>
              <w:t>路消防短路报警触发信号输出。支持通过主机实现智能控制。</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机柜</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42U</w:t>
            </w:r>
            <w:r>
              <w:rPr>
                <w:rFonts w:hint="eastAsia" w:ascii="宋体" w:hAnsi="宋体" w:cs="宋体"/>
                <w:color w:val="auto"/>
                <w:sz w:val="20"/>
                <w:szCs w:val="20"/>
              </w:rPr>
              <w:t>，</w:t>
            </w:r>
            <w:r>
              <w:rPr>
                <w:rFonts w:ascii="宋体" w:hAnsi="宋体" w:cs="宋体"/>
                <w:color w:val="auto"/>
                <w:sz w:val="20"/>
                <w:szCs w:val="20"/>
              </w:rPr>
              <w:t>600mm*800mm</w:t>
            </w:r>
            <w:r>
              <w:rPr>
                <w:rFonts w:hint="eastAsia" w:ascii="宋体" w:hAnsi="宋体" w:cs="宋体"/>
                <w:color w:val="auto"/>
                <w:sz w:val="20"/>
                <w:szCs w:val="20"/>
              </w:rPr>
              <w:t>（宽</w:t>
            </w:r>
            <w:r>
              <w:rPr>
                <w:rFonts w:ascii="宋体" w:hAnsi="宋体" w:cs="宋体"/>
                <w:color w:val="auto"/>
                <w:sz w:val="20"/>
                <w:szCs w:val="20"/>
              </w:rPr>
              <w:t>*</w:t>
            </w:r>
            <w:r>
              <w:rPr>
                <w:rFonts w:hint="eastAsia" w:ascii="宋体" w:hAnsi="宋体" w:cs="宋体"/>
                <w:color w:val="auto"/>
                <w:sz w:val="20"/>
                <w:szCs w:val="20"/>
              </w:rPr>
              <w:t>深），钢化玻璃门，板材厚度不低于</w:t>
            </w:r>
            <w:r>
              <w:rPr>
                <w:rFonts w:ascii="宋体" w:hAnsi="宋体" w:cs="宋体"/>
                <w:color w:val="auto"/>
                <w:sz w:val="20"/>
                <w:szCs w:val="20"/>
              </w:rPr>
              <w:t>2.0mm,</w:t>
            </w:r>
            <w:r>
              <w:rPr>
                <w:rFonts w:hint="eastAsia" w:ascii="宋体" w:hAnsi="宋体" w:cs="宋体"/>
                <w:color w:val="auto"/>
                <w:sz w:val="20"/>
                <w:szCs w:val="20"/>
              </w:rPr>
              <w:t>配足够数量的托板（不少于</w:t>
            </w:r>
            <w:r>
              <w:rPr>
                <w:rFonts w:ascii="宋体" w:hAnsi="宋体" w:cs="宋体"/>
                <w:color w:val="auto"/>
                <w:sz w:val="20"/>
                <w:szCs w:val="20"/>
              </w:rPr>
              <w:t>5</w:t>
            </w:r>
            <w:r>
              <w:rPr>
                <w:rFonts w:hint="eastAsia" w:ascii="宋体" w:hAnsi="宋体" w:cs="宋体"/>
                <w:color w:val="auto"/>
                <w:sz w:val="20"/>
                <w:szCs w:val="20"/>
              </w:rPr>
              <w:t>个），电源插座不低于</w:t>
            </w:r>
            <w:r>
              <w:rPr>
                <w:rFonts w:ascii="宋体" w:hAnsi="宋体" w:cs="宋体"/>
                <w:color w:val="auto"/>
                <w:sz w:val="20"/>
                <w:szCs w:val="20"/>
              </w:rPr>
              <w:t>8</w:t>
            </w:r>
            <w:r>
              <w:rPr>
                <w:rFonts w:hint="eastAsia" w:ascii="宋体" w:hAnsi="宋体" w:cs="宋体"/>
                <w:color w:val="auto"/>
                <w:sz w:val="20"/>
                <w:szCs w:val="20"/>
              </w:rPr>
              <w:t>路。</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2326"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终端</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设备支持</w:t>
            </w:r>
            <w:r>
              <w:rPr>
                <w:rFonts w:ascii="宋体" w:hAnsi="宋体" w:cs="宋体"/>
                <w:color w:val="auto"/>
                <w:sz w:val="20"/>
                <w:szCs w:val="20"/>
              </w:rPr>
              <w:t>MP3</w:t>
            </w:r>
            <w:r>
              <w:rPr>
                <w:rFonts w:hint="eastAsia" w:ascii="宋体" w:hAnsi="宋体" w:cs="宋体"/>
                <w:color w:val="auto"/>
                <w:sz w:val="20"/>
                <w:szCs w:val="20"/>
              </w:rPr>
              <w:t>音频格式，设备支持</w:t>
            </w:r>
            <w:r>
              <w:rPr>
                <w:rFonts w:ascii="宋体" w:hAnsi="宋体" w:cs="宋体"/>
                <w:color w:val="auto"/>
                <w:sz w:val="20"/>
                <w:szCs w:val="20"/>
              </w:rPr>
              <w:t>8KHz</w:t>
            </w:r>
            <w:r>
              <w:rPr>
                <w:rFonts w:hint="eastAsia" w:ascii="宋体" w:hAnsi="宋体" w:cs="宋体"/>
                <w:color w:val="auto"/>
                <w:sz w:val="20"/>
                <w:szCs w:val="20"/>
              </w:rPr>
              <w:t>～</w:t>
            </w:r>
            <w:r>
              <w:rPr>
                <w:rFonts w:ascii="宋体" w:hAnsi="宋体" w:cs="宋体"/>
                <w:color w:val="auto"/>
                <w:sz w:val="20"/>
                <w:szCs w:val="20"/>
              </w:rPr>
              <w:t>48KHz</w:t>
            </w:r>
            <w:r>
              <w:rPr>
                <w:rFonts w:hint="eastAsia" w:ascii="宋体" w:hAnsi="宋体" w:cs="宋体"/>
                <w:color w:val="auto"/>
                <w:sz w:val="20"/>
                <w:szCs w:val="20"/>
              </w:rPr>
              <w:t>采样率。</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设备内置</w:t>
            </w:r>
            <w:r>
              <w:rPr>
                <w:rFonts w:ascii="宋体" w:hAnsi="宋体" w:cs="宋体"/>
                <w:color w:val="auto"/>
                <w:sz w:val="20"/>
                <w:szCs w:val="20"/>
              </w:rPr>
              <w:t>1</w:t>
            </w:r>
            <w:r>
              <w:rPr>
                <w:rFonts w:hint="eastAsia" w:ascii="宋体" w:hAnsi="宋体" w:cs="宋体"/>
                <w:color w:val="auto"/>
                <w:sz w:val="20"/>
                <w:szCs w:val="20"/>
              </w:rPr>
              <w:t>路网络硬件音频解码模块，支持</w:t>
            </w:r>
            <w:r>
              <w:rPr>
                <w:rFonts w:ascii="宋体" w:hAnsi="宋体" w:cs="宋体"/>
                <w:color w:val="auto"/>
                <w:sz w:val="20"/>
                <w:szCs w:val="20"/>
              </w:rPr>
              <w:t>TCP/IP</w:t>
            </w:r>
            <w:r>
              <w:rPr>
                <w:rFonts w:hint="eastAsia" w:ascii="宋体" w:hAnsi="宋体" w:cs="宋体"/>
                <w:color w:val="auto"/>
                <w:sz w:val="20"/>
                <w:szCs w:val="20"/>
              </w:rPr>
              <w:t>、</w:t>
            </w:r>
            <w:r>
              <w:rPr>
                <w:rFonts w:ascii="宋体" w:hAnsi="宋体" w:cs="宋体"/>
                <w:color w:val="auto"/>
                <w:sz w:val="20"/>
                <w:szCs w:val="20"/>
              </w:rPr>
              <w:t>UDP</w:t>
            </w:r>
            <w:r>
              <w:rPr>
                <w:rFonts w:hint="eastAsia" w:ascii="宋体" w:hAnsi="宋体" w:cs="宋体"/>
                <w:color w:val="auto"/>
                <w:sz w:val="20"/>
                <w:szCs w:val="20"/>
              </w:rPr>
              <w:t>，实现网络化传输</w:t>
            </w:r>
            <w:r>
              <w:rPr>
                <w:rFonts w:ascii="宋体" w:hAnsi="宋体" w:cs="宋体"/>
                <w:color w:val="auto"/>
                <w:sz w:val="20"/>
                <w:szCs w:val="20"/>
              </w:rPr>
              <w:t>16</w:t>
            </w:r>
            <w:r>
              <w:rPr>
                <w:rFonts w:hint="eastAsia" w:ascii="宋体" w:hAnsi="宋体" w:cs="宋体"/>
                <w:color w:val="auto"/>
                <w:sz w:val="20"/>
                <w:szCs w:val="20"/>
              </w:rPr>
              <w:t>位</w:t>
            </w:r>
            <w:r>
              <w:rPr>
                <w:rFonts w:ascii="宋体" w:hAnsi="宋体" w:cs="宋体"/>
                <w:color w:val="auto"/>
                <w:sz w:val="20"/>
                <w:szCs w:val="20"/>
              </w:rPr>
              <w:t>CD</w:t>
            </w:r>
            <w:r>
              <w:rPr>
                <w:rFonts w:hint="eastAsia" w:ascii="宋体" w:hAnsi="宋体" w:cs="宋体"/>
                <w:color w:val="auto"/>
                <w:sz w:val="20"/>
                <w:szCs w:val="20"/>
              </w:rPr>
              <w:t>音质的音频信号。</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设备具有网络接口：标准</w:t>
            </w:r>
            <w:r>
              <w:rPr>
                <w:rFonts w:ascii="宋体" w:hAnsi="宋体" w:cs="宋体"/>
                <w:color w:val="auto"/>
                <w:sz w:val="20"/>
                <w:szCs w:val="20"/>
              </w:rPr>
              <w:t>RJ45</w:t>
            </w:r>
            <w:r>
              <w:rPr>
                <w:rFonts w:hint="eastAsia" w:ascii="宋体" w:hAnsi="宋体" w:cs="宋体"/>
                <w:color w:val="auto"/>
                <w:sz w:val="20"/>
                <w:szCs w:val="20"/>
              </w:rPr>
              <w:t>输入；设备支持不低于</w:t>
            </w:r>
            <w:r>
              <w:rPr>
                <w:rFonts w:ascii="宋体" w:hAnsi="宋体" w:cs="宋体"/>
                <w:color w:val="auto"/>
                <w:sz w:val="20"/>
                <w:szCs w:val="20"/>
              </w:rPr>
              <w:t>100Mbps</w:t>
            </w:r>
            <w:r>
              <w:rPr>
                <w:rFonts w:hint="eastAsia" w:ascii="宋体" w:hAnsi="宋体" w:cs="宋体"/>
                <w:color w:val="auto"/>
                <w:sz w:val="20"/>
                <w:szCs w:val="20"/>
              </w:rPr>
              <w:t>传输速率。</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设备具有</w:t>
            </w:r>
            <w:r>
              <w:rPr>
                <w:rFonts w:ascii="宋体" w:hAnsi="宋体" w:cs="宋体"/>
                <w:color w:val="auto"/>
                <w:sz w:val="20"/>
                <w:szCs w:val="20"/>
              </w:rPr>
              <w:t>USB</w:t>
            </w:r>
            <w:r>
              <w:rPr>
                <w:rFonts w:hint="eastAsia" w:ascii="宋体" w:hAnsi="宋体" w:cs="宋体"/>
                <w:color w:val="auto"/>
                <w:sz w:val="20"/>
                <w:szCs w:val="20"/>
              </w:rPr>
              <w:t>接口：最大支持</w:t>
            </w:r>
            <w:r>
              <w:rPr>
                <w:rFonts w:ascii="宋体" w:hAnsi="宋体" w:cs="宋体"/>
                <w:color w:val="auto"/>
                <w:sz w:val="20"/>
                <w:szCs w:val="20"/>
              </w:rPr>
              <w:t>16G</w:t>
            </w:r>
            <w:r>
              <w:rPr>
                <w:rFonts w:hint="eastAsia" w:ascii="宋体" w:hAnsi="宋体" w:cs="宋体"/>
                <w:color w:val="auto"/>
                <w:sz w:val="20"/>
                <w:szCs w:val="20"/>
              </w:rPr>
              <w:t>内存</w:t>
            </w:r>
            <w:r>
              <w:rPr>
                <w:rFonts w:ascii="宋体" w:hAnsi="宋体" w:cs="宋体"/>
                <w:color w:val="auto"/>
                <w:sz w:val="20"/>
                <w:szCs w:val="20"/>
              </w:rPr>
              <w:t>U</w:t>
            </w:r>
            <w:r>
              <w:rPr>
                <w:rFonts w:hint="eastAsia" w:ascii="宋体" w:hAnsi="宋体" w:cs="宋体"/>
                <w:color w:val="auto"/>
                <w:sz w:val="20"/>
                <w:szCs w:val="20"/>
              </w:rPr>
              <w:t>盘接入。同时具有</w:t>
            </w:r>
            <w:r>
              <w:rPr>
                <w:rFonts w:ascii="宋体" w:hAnsi="宋体" w:cs="宋体"/>
                <w:color w:val="auto"/>
                <w:sz w:val="20"/>
                <w:szCs w:val="20"/>
              </w:rPr>
              <w:t>USB</w:t>
            </w:r>
            <w:r>
              <w:rPr>
                <w:rFonts w:hint="eastAsia" w:ascii="宋体" w:hAnsi="宋体" w:cs="宋体"/>
                <w:color w:val="auto"/>
                <w:sz w:val="20"/>
                <w:szCs w:val="20"/>
              </w:rPr>
              <w:t>播放功能，接入</w:t>
            </w:r>
            <w:r>
              <w:rPr>
                <w:rFonts w:ascii="宋体" w:hAnsi="宋体" w:cs="宋体"/>
                <w:color w:val="auto"/>
                <w:sz w:val="20"/>
                <w:szCs w:val="20"/>
              </w:rPr>
              <w:t>U</w:t>
            </w:r>
            <w:r>
              <w:rPr>
                <w:rFonts w:hint="eastAsia" w:ascii="宋体" w:hAnsi="宋体" w:cs="宋体"/>
                <w:color w:val="auto"/>
                <w:sz w:val="20"/>
                <w:szCs w:val="20"/>
              </w:rPr>
              <w:t>盘。搭配红外遥控器可实现播放任意一首歌曲和播放上一曲、下一曲、暂停、停止等功能（或选择面板按键操作）。</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设备具有线路（</w:t>
            </w:r>
            <w:r>
              <w:rPr>
                <w:rFonts w:ascii="宋体" w:hAnsi="宋体" w:cs="宋体"/>
                <w:color w:val="auto"/>
                <w:sz w:val="20"/>
                <w:szCs w:val="20"/>
              </w:rPr>
              <w:t>AUX</w:t>
            </w:r>
            <w:r>
              <w:rPr>
                <w:rFonts w:hint="eastAsia" w:ascii="宋体" w:hAnsi="宋体" w:cs="宋体"/>
                <w:color w:val="auto"/>
                <w:sz w:val="20"/>
                <w:szCs w:val="20"/>
              </w:rPr>
              <w:t>）和话筒（</w:t>
            </w:r>
            <w:r>
              <w:rPr>
                <w:rFonts w:ascii="宋体" w:hAnsi="宋体" w:cs="宋体"/>
                <w:color w:val="auto"/>
                <w:sz w:val="20"/>
                <w:szCs w:val="20"/>
              </w:rPr>
              <w:t>MIC</w:t>
            </w:r>
            <w:r>
              <w:rPr>
                <w:rFonts w:hint="eastAsia" w:ascii="宋体" w:hAnsi="宋体" w:cs="宋体"/>
                <w:color w:val="auto"/>
                <w:sz w:val="20"/>
                <w:szCs w:val="20"/>
              </w:rPr>
              <w:t>）输入接口，具有独立的音量和高低音调节电位器控制，支持断网本地寻呼功能。设备具有</w:t>
            </w:r>
            <w:r>
              <w:rPr>
                <w:rFonts w:ascii="宋体" w:hAnsi="宋体" w:cs="宋体"/>
                <w:color w:val="auto"/>
                <w:sz w:val="20"/>
                <w:szCs w:val="20"/>
              </w:rPr>
              <w:t>1</w:t>
            </w:r>
            <w:r>
              <w:rPr>
                <w:rFonts w:hint="eastAsia" w:ascii="宋体" w:hAnsi="宋体" w:cs="宋体"/>
                <w:color w:val="auto"/>
                <w:sz w:val="20"/>
                <w:szCs w:val="20"/>
              </w:rPr>
              <w:t>路</w:t>
            </w:r>
            <w:r>
              <w:rPr>
                <w:rFonts w:ascii="宋体" w:hAnsi="宋体" w:cs="宋体"/>
                <w:color w:val="auto"/>
                <w:sz w:val="20"/>
                <w:szCs w:val="20"/>
              </w:rPr>
              <w:t>EMC</w:t>
            </w:r>
            <w:r>
              <w:rPr>
                <w:rFonts w:hint="eastAsia" w:ascii="宋体" w:hAnsi="宋体" w:cs="宋体"/>
                <w:color w:val="auto"/>
                <w:sz w:val="20"/>
                <w:szCs w:val="20"/>
              </w:rPr>
              <w:t>输入接口，输入紧急报警语音信号为直通，具有最高优先级。设备具有</w:t>
            </w:r>
            <w:r>
              <w:rPr>
                <w:rFonts w:ascii="宋体" w:hAnsi="宋体" w:cs="宋体"/>
                <w:color w:val="auto"/>
                <w:sz w:val="20"/>
                <w:szCs w:val="20"/>
              </w:rPr>
              <w:t>1</w:t>
            </w:r>
            <w:r>
              <w:rPr>
                <w:rFonts w:hint="eastAsia" w:ascii="宋体" w:hAnsi="宋体" w:cs="宋体"/>
                <w:color w:val="auto"/>
                <w:sz w:val="20"/>
                <w:szCs w:val="20"/>
              </w:rPr>
              <w:t>路音频信号辅助输出接口，可扩展外接功率放大器，标准的莲花座接口，布线连接非常方便。设备具有</w:t>
            </w:r>
            <w:r>
              <w:rPr>
                <w:rFonts w:ascii="宋体" w:hAnsi="宋体" w:cs="宋体"/>
                <w:color w:val="auto"/>
                <w:sz w:val="20"/>
                <w:szCs w:val="20"/>
              </w:rPr>
              <w:t>2</w:t>
            </w:r>
            <w:r>
              <w:rPr>
                <w:rFonts w:hint="eastAsia" w:ascii="宋体" w:hAnsi="宋体" w:cs="宋体"/>
                <w:color w:val="auto"/>
                <w:sz w:val="20"/>
                <w:szCs w:val="20"/>
              </w:rPr>
              <w:t>路三线制音控强切输出接口，无需强切电源。</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设备采用数字音频处理技术设计。</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设备采用不低于工业级</w:t>
            </w:r>
            <w:r>
              <w:rPr>
                <w:rFonts w:ascii="宋体" w:hAnsi="宋体" w:cs="宋体"/>
                <w:color w:val="auto"/>
                <w:sz w:val="20"/>
                <w:szCs w:val="20"/>
              </w:rPr>
              <w:t>3.4</w:t>
            </w:r>
            <w:r>
              <w:rPr>
                <w:rFonts w:hint="eastAsia" w:ascii="宋体" w:hAnsi="宋体" w:cs="宋体"/>
                <w:color w:val="auto"/>
                <w:sz w:val="20"/>
                <w:szCs w:val="20"/>
              </w:rPr>
              <w:t>英寸</w:t>
            </w:r>
            <w:r>
              <w:rPr>
                <w:rFonts w:ascii="宋体" w:hAnsi="宋体" w:cs="宋体"/>
                <w:color w:val="auto"/>
                <w:sz w:val="20"/>
                <w:szCs w:val="20"/>
              </w:rPr>
              <w:t>LCD</w:t>
            </w:r>
            <w:r>
              <w:rPr>
                <w:rFonts w:hint="eastAsia" w:ascii="宋体" w:hAnsi="宋体" w:cs="宋体"/>
                <w:color w:val="auto"/>
                <w:sz w:val="20"/>
                <w:szCs w:val="20"/>
              </w:rPr>
              <w:t>显示屏，可以清晰显示大多数点阵图案和机器工作状态；支持红外功能，搭配红外遥控器可实现点播服务器节目库任意内容、可控制播放</w:t>
            </w:r>
            <w:r>
              <w:rPr>
                <w:rFonts w:ascii="宋体" w:hAnsi="宋体" w:cs="宋体"/>
                <w:color w:val="auto"/>
                <w:sz w:val="20"/>
                <w:szCs w:val="20"/>
              </w:rPr>
              <w:t>/</w:t>
            </w:r>
            <w:r>
              <w:rPr>
                <w:rFonts w:hint="eastAsia" w:ascii="宋体" w:hAnsi="宋体" w:cs="宋体"/>
                <w:color w:val="auto"/>
                <w:sz w:val="20"/>
                <w:szCs w:val="20"/>
              </w:rPr>
              <w:t>暂停，操作灵活简单。</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设备支持广播系统对终端进行远程固件升级。设备为数字化产品，扩容方便，施工安装简便。</w:t>
            </w:r>
            <w:r>
              <w:rPr>
                <w:rFonts w:ascii="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设备具有优先设置功能，最高级</w:t>
            </w:r>
            <w:r>
              <w:rPr>
                <w:rFonts w:ascii="宋体" w:hAnsi="宋体" w:cs="宋体"/>
                <w:color w:val="auto"/>
                <w:sz w:val="20"/>
                <w:szCs w:val="20"/>
              </w:rPr>
              <w:t>EMC</w:t>
            </w:r>
            <w:r>
              <w:rPr>
                <w:rFonts w:hint="eastAsia" w:ascii="宋体" w:hAnsi="宋体" w:cs="宋体"/>
                <w:color w:val="auto"/>
                <w:sz w:val="20"/>
                <w:szCs w:val="20"/>
              </w:rPr>
              <w:t>。网络报警信号优先</w:t>
            </w:r>
            <w:r>
              <w:rPr>
                <w:rFonts w:ascii="宋体" w:hAnsi="宋体" w:cs="宋体"/>
                <w:color w:val="auto"/>
                <w:sz w:val="20"/>
                <w:szCs w:val="20"/>
              </w:rPr>
              <w:t>MIC,AUX</w:t>
            </w:r>
            <w:r>
              <w:rPr>
                <w:rFonts w:hint="eastAsia" w:ascii="宋体" w:hAnsi="宋体" w:cs="宋体"/>
                <w:color w:val="auto"/>
                <w:sz w:val="20"/>
                <w:szCs w:val="20"/>
              </w:rPr>
              <w:t>和网络背景音乐信号。</w:t>
            </w:r>
            <w:r>
              <w:rPr>
                <w:rFonts w:ascii="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设备</w:t>
            </w:r>
            <w:r>
              <w:rPr>
                <w:rFonts w:ascii="宋体" w:hAnsi="宋体" w:cs="宋体"/>
                <w:color w:val="auto"/>
                <w:sz w:val="20"/>
                <w:szCs w:val="20"/>
              </w:rPr>
              <w:t>EMC</w:t>
            </w:r>
            <w:r>
              <w:rPr>
                <w:rFonts w:hint="eastAsia" w:ascii="宋体" w:hAnsi="宋体" w:cs="宋体"/>
                <w:color w:val="auto"/>
                <w:sz w:val="20"/>
                <w:szCs w:val="20"/>
              </w:rPr>
              <w:t>输入灵敏度：不低于</w:t>
            </w:r>
            <w:r>
              <w:rPr>
                <w:rFonts w:ascii="宋体" w:hAnsi="宋体" w:cs="宋体"/>
                <w:color w:val="auto"/>
                <w:sz w:val="20"/>
                <w:szCs w:val="20"/>
              </w:rPr>
              <w:t>775mV  (</w:t>
            </w:r>
            <w:r>
              <w:rPr>
                <w:rFonts w:hint="eastAsia" w:ascii="宋体" w:hAnsi="宋体" w:cs="宋体"/>
                <w:color w:val="auto"/>
                <w:sz w:val="20"/>
                <w:szCs w:val="20"/>
              </w:rPr>
              <w:t>非平衡）；设备</w:t>
            </w:r>
            <w:r>
              <w:rPr>
                <w:rFonts w:ascii="宋体" w:hAnsi="宋体" w:cs="宋体"/>
                <w:color w:val="auto"/>
                <w:sz w:val="20"/>
                <w:szCs w:val="20"/>
              </w:rPr>
              <w:t>AUX</w:t>
            </w:r>
            <w:r>
              <w:rPr>
                <w:rFonts w:hint="eastAsia" w:ascii="宋体" w:hAnsi="宋体" w:cs="宋体"/>
                <w:color w:val="auto"/>
                <w:sz w:val="20"/>
                <w:szCs w:val="20"/>
              </w:rPr>
              <w:t>输入灵敏度：不低于</w:t>
            </w:r>
            <w:r>
              <w:rPr>
                <w:rFonts w:ascii="宋体" w:hAnsi="宋体" w:cs="宋体"/>
                <w:color w:val="auto"/>
                <w:sz w:val="20"/>
                <w:szCs w:val="20"/>
              </w:rPr>
              <w:t>350mV  (</w:t>
            </w:r>
            <w:r>
              <w:rPr>
                <w:rFonts w:hint="eastAsia" w:ascii="宋体" w:hAnsi="宋体" w:cs="宋体"/>
                <w:color w:val="auto"/>
                <w:sz w:val="20"/>
                <w:szCs w:val="20"/>
              </w:rPr>
              <w:t>非平衡）；设备</w:t>
            </w:r>
            <w:r>
              <w:rPr>
                <w:rFonts w:ascii="宋体" w:hAnsi="宋体" w:cs="宋体"/>
                <w:color w:val="auto"/>
                <w:sz w:val="20"/>
                <w:szCs w:val="20"/>
              </w:rPr>
              <w:t>MIC</w:t>
            </w:r>
            <w:r>
              <w:rPr>
                <w:rFonts w:hint="eastAsia" w:ascii="宋体" w:hAnsi="宋体" w:cs="宋体"/>
                <w:color w:val="auto"/>
                <w:sz w:val="20"/>
                <w:szCs w:val="20"/>
              </w:rPr>
              <w:t>输入灵敏度：不低于</w:t>
            </w:r>
            <w:r>
              <w:rPr>
                <w:rFonts w:ascii="宋体" w:hAnsi="宋体" w:cs="宋体"/>
                <w:color w:val="auto"/>
                <w:sz w:val="20"/>
                <w:szCs w:val="20"/>
              </w:rPr>
              <w:t>5mV   (</w:t>
            </w:r>
            <w:r>
              <w:rPr>
                <w:rFonts w:hint="eastAsia" w:ascii="宋体" w:hAnsi="宋体" w:cs="宋体"/>
                <w:color w:val="auto"/>
                <w:sz w:val="20"/>
                <w:szCs w:val="20"/>
              </w:rPr>
              <w:t>非平衡）。</w:t>
            </w:r>
            <w:r>
              <w:rPr>
                <w:rFonts w:ascii="宋体"/>
                <w:color w:val="auto"/>
                <w:sz w:val="20"/>
                <w:szCs w:val="20"/>
              </w:rPr>
              <w:br w:type="textWrapping"/>
            </w:r>
            <w:r>
              <w:rPr>
                <w:rFonts w:ascii="宋体" w:hAnsi="宋体" w:cs="宋体"/>
                <w:color w:val="auto"/>
                <w:sz w:val="20"/>
                <w:szCs w:val="20"/>
              </w:rPr>
              <w:t>11.</w:t>
            </w:r>
            <w:r>
              <w:rPr>
                <w:rFonts w:hint="eastAsia" w:ascii="宋体" w:hAnsi="宋体" w:cs="宋体"/>
                <w:color w:val="auto"/>
                <w:sz w:val="20"/>
                <w:szCs w:val="20"/>
              </w:rPr>
              <w:t>设备高、低音提升、衰减：±</w:t>
            </w:r>
            <w:r>
              <w:rPr>
                <w:rFonts w:ascii="宋体" w:hAnsi="宋体" w:cs="宋体"/>
                <w:color w:val="auto"/>
                <w:sz w:val="20"/>
                <w:szCs w:val="20"/>
              </w:rPr>
              <w:t>10dB</w:t>
            </w:r>
            <w:r>
              <w:rPr>
                <w:rFonts w:ascii="宋体" w:hAnsi="宋体" w:cs="宋体"/>
                <w:color w:val="auto"/>
                <w:sz w:val="20"/>
                <w:szCs w:val="20"/>
              </w:rPr>
              <w:br w:type="textWrapping"/>
            </w:r>
            <w:r>
              <w:rPr>
                <w:rFonts w:ascii="宋体" w:hAnsi="宋体" w:cs="宋体"/>
                <w:color w:val="auto"/>
                <w:sz w:val="20"/>
                <w:szCs w:val="20"/>
              </w:rPr>
              <w:t>12.</w:t>
            </w:r>
            <w:r>
              <w:rPr>
                <w:rFonts w:hint="eastAsia" w:ascii="宋体" w:hAnsi="宋体" w:cs="宋体"/>
                <w:color w:val="auto"/>
                <w:sz w:val="20"/>
                <w:szCs w:val="20"/>
              </w:rPr>
              <w:t>设备频率响应：</w:t>
            </w:r>
            <w:r>
              <w:rPr>
                <w:rFonts w:ascii="宋体" w:hAnsi="宋体" w:cs="宋体"/>
                <w:color w:val="auto"/>
                <w:sz w:val="20"/>
                <w:szCs w:val="20"/>
              </w:rPr>
              <w:t>80Hz</w:t>
            </w:r>
            <w:r>
              <w:rPr>
                <w:rFonts w:hint="eastAsia" w:ascii="宋体" w:hAnsi="宋体" w:cs="宋体"/>
                <w:color w:val="auto"/>
                <w:sz w:val="20"/>
                <w:szCs w:val="20"/>
              </w:rPr>
              <w:t>～</w:t>
            </w:r>
            <w:r>
              <w:rPr>
                <w:rFonts w:ascii="宋体" w:hAnsi="宋体" w:cs="宋体"/>
                <w:color w:val="auto"/>
                <w:sz w:val="20"/>
                <w:szCs w:val="20"/>
              </w:rPr>
              <w:t>16KHz(</w:t>
            </w:r>
            <w:r>
              <w:rPr>
                <w:rFonts w:hint="eastAsia" w:ascii="宋体" w:hAnsi="宋体" w:cs="宋体"/>
                <w:color w:val="auto"/>
                <w:sz w:val="20"/>
                <w:szCs w:val="20"/>
              </w:rPr>
              <w:t>±</w:t>
            </w:r>
            <w:r>
              <w:rPr>
                <w:rFonts w:ascii="宋体" w:hAnsi="宋体" w:cs="宋体"/>
                <w:color w:val="auto"/>
                <w:sz w:val="20"/>
                <w:szCs w:val="20"/>
              </w:rPr>
              <w:t>3dB)</w:t>
            </w:r>
            <w:r>
              <w:rPr>
                <w:rFonts w:ascii="宋体" w:hAnsi="宋体" w:cs="宋体"/>
                <w:color w:val="auto"/>
                <w:sz w:val="20"/>
                <w:szCs w:val="20"/>
              </w:rPr>
              <w:br w:type="textWrapping"/>
            </w:r>
            <w:r>
              <w:rPr>
                <w:rFonts w:ascii="宋体" w:hAnsi="宋体" w:cs="宋体"/>
                <w:color w:val="auto"/>
                <w:sz w:val="20"/>
                <w:szCs w:val="20"/>
              </w:rPr>
              <w:t>13.</w:t>
            </w:r>
            <w:r>
              <w:rPr>
                <w:rFonts w:hint="eastAsia" w:ascii="宋体" w:hAnsi="宋体" w:cs="宋体"/>
                <w:color w:val="auto"/>
                <w:sz w:val="20"/>
                <w:szCs w:val="20"/>
              </w:rPr>
              <w:t>设备谐波失真：≤</w:t>
            </w:r>
            <w:r>
              <w:rPr>
                <w:rFonts w:ascii="宋体" w:hAnsi="宋体" w:cs="宋体"/>
                <w:color w:val="auto"/>
                <w:sz w:val="20"/>
                <w:szCs w:val="20"/>
              </w:rPr>
              <w:t>0.3%</w:t>
            </w:r>
            <w:r>
              <w:rPr>
                <w:rFonts w:ascii="宋体" w:hAnsi="宋体" w:cs="宋体"/>
                <w:color w:val="auto"/>
                <w:sz w:val="20"/>
                <w:szCs w:val="20"/>
              </w:rPr>
              <w:br w:type="textWrapping"/>
            </w:r>
            <w:r>
              <w:rPr>
                <w:rFonts w:ascii="宋体" w:hAnsi="宋体" w:cs="宋体"/>
                <w:color w:val="auto"/>
                <w:sz w:val="20"/>
                <w:szCs w:val="20"/>
              </w:rPr>
              <w:t>14.</w:t>
            </w:r>
            <w:r>
              <w:rPr>
                <w:rFonts w:hint="eastAsia" w:ascii="宋体" w:hAnsi="宋体" w:cs="宋体"/>
                <w:color w:val="auto"/>
                <w:sz w:val="20"/>
                <w:szCs w:val="20"/>
              </w:rPr>
              <w:t>设备信噪比：＞</w:t>
            </w:r>
            <w:r>
              <w:rPr>
                <w:rFonts w:ascii="宋体" w:hAnsi="宋体" w:cs="宋体"/>
                <w:color w:val="auto"/>
                <w:sz w:val="20"/>
                <w:szCs w:val="20"/>
              </w:rPr>
              <w:t>65dB</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20</w:t>
            </w:r>
          </w:p>
        </w:tc>
      </w:tr>
      <w:tr>
        <w:tblPrEx>
          <w:tblCellMar>
            <w:top w:w="0" w:type="dxa"/>
            <w:left w:w="108" w:type="dxa"/>
            <w:bottom w:w="0" w:type="dxa"/>
            <w:right w:w="108" w:type="dxa"/>
          </w:tblCellMar>
        </w:tblPrEx>
        <w:trPr>
          <w:trHeight w:val="21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7</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网络终端嵌入软件</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支持拓展注册智能语音提示功能。</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终端支持背景音乐播放功能，并且每个终端可以单独调节音量。</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支持本地服务器的</w:t>
            </w:r>
            <w:r>
              <w:rPr>
                <w:rFonts w:ascii="宋体" w:hAnsi="宋体" w:cs="宋体"/>
                <w:color w:val="auto"/>
                <w:sz w:val="20"/>
                <w:szCs w:val="20"/>
              </w:rPr>
              <w:t>MP3</w:t>
            </w:r>
            <w:r>
              <w:rPr>
                <w:rFonts w:hint="eastAsia" w:ascii="宋体" w:hAnsi="宋体" w:cs="宋体"/>
                <w:color w:val="auto"/>
                <w:sz w:val="20"/>
                <w:szCs w:val="20"/>
              </w:rPr>
              <w:t>文件播放功能；且支持单独播放或分区</w:t>
            </w:r>
            <w:r>
              <w:rPr>
                <w:rFonts w:ascii="宋体" w:hAnsi="宋体" w:cs="宋体"/>
                <w:color w:val="auto"/>
                <w:sz w:val="20"/>
                <w:szCs w:val="20"/>
              </w:rPr>
              <w:t>/</w:t>
            </w:r>
            <w:r>
              <w:rPr>
                <w:rFonts w:hint="eastAsia" w:ascii="宋体" w:hAnsi="宋体" w:cs="宋体"/>
                <w:color w:val="auto"/>
                <w:sz w:val="20"/>
                <w:szCs w:val="20"/>
              </w:rPr>
              <w:t>全区播放。</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网络终端内嵌软件，支撑终端设备各项基本功能的运行。</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内嵌高保真</w:t>
            </w:r>
            <w:r>
              <w:rPr>
                <w:rFonts w:ascii="宋体" w:hAnsi="宋体" w:cs="宋体"/>
                <w:color w:val="auto"/>
                <w:sz w:val="20"/>
                <w:szCs w:val="20"/>
              </w:rPr>
              <w:t>DSP</w:t>
            </w:r>
            <w:r>
              <w:rPr>
                <w:rFonts w:hint="eastAsia" w:ascii="宋体" w:hAnsi="宋体" w:cs="宋体"/>
                <w:color w:val="auto"/>
                <w:sz w:val="20"/>
                <w:szCs w:val="20"/>
              </w:rPr>
              <w:t>音频音频解码技术，完美还原音乐文件；支持节目播放、远程点播功能。</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20</w:t>
            </w:r>
          </w:p>
        </w:tc>
      </w:tr>
      <w:tr>
        <w:tblPrEx>
          <w:tblCellMar>
            <w:top w:w="0" w:type="dxa"/>
            <w:left w:w="108" w:type="dxa"/>
            <w:bottom w:w="0" w:type="dxa"/>
            <w:right w:w="108" w:type="dxa"/>
          </w:tblCellMar>
        </w:tblPrEx>
        <w:trPr>
          <w:trHeight w:val="769"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8</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寻呼话筒</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桌面鹅颈设计，配液晶显示屏（触摸）。</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内置全频高保真扬声器，实现双向通话和网络监听。</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内置网络回声消除模块；</w:t>
            </w:r>
            <w:r>
              <w:rPr>
                <w:rFonts w:ascii="宋体" w:hAnsi="宋体" w:cs="宋体"/>
                <w:color w:val="auto"/>
                <w:sz w:val="20"/>
                <w:szCs w:val="20"/>
              </w:rPr>
              <w:t>IP</w:t>
            </w:r>
            <w:r>
              <w:rPr>
                <w:rFonts w:hint="eastAsia" w:ascii="宋体" w:hAnsi="宋体" w:cs="宋体"/>
                <w:color w:val="auto"/>
                <w:sz w:val="20"/>
                <w:szCs w:val="20"/>
              </w:rPr>
              <w:t>终端之间实现两两双向对讲，延时低于</w:t>
            </w:r>
            <w:r>
              <w:rPr>
                <w:rFonts w:ascii="宋体" w:hAnsi="宋体" w:cs="宋体"/>
                <w:color w:val="auto"/>
                <w:sz w:val="20"/>
                <w:szCs w:val="20"/>
              </w:rPr>
              <w:t>100ms</w:t>
            </w:r>
            <w:r>
              <w:rPr>
                <w:rFonts w:hint="eastAsia" w:ascii="宋体" w:hAnsi="宋体" w:cs="宋体"/>
                <w:color w:val="auto"/>
                <w:sz w:val="20"/>
                <w:szCs w:val="20"/>
              </w:rPr>
              <w:t>；不产生网络回声啸叫。</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具有音频线路输出，外扩功放；具有音频线路输入</w:t>
            </w:r>
            <w:r>
              <w:rPr>
                <w:rFonts w:ascii="宋体" w:cs="宋体"/>
                <w:color w:val="auto"/>
                <w:sz w:val="20"/>
                <w:szCs w:val="20"/>
              </w:rPr>
              <w:t>,</w:t>
            </w:r>
            <w:r>
              <w:rPr>
                <w:rFonts w:hint="eastAsia" w:ascii="宋体" w:hAnsi="宋体" w:cs="宋体"/>
                <w:color w:val="auto"/>
                <w:sz w:val="20"/>
                <w:szCs w:val="20"/>
              </w:rPr>
              <w:t>支持采集播放功能，支持多音源传输。</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具有数字键、功能键界面。具有数模解码模块，支持</w:t>
            </w:r>
            <w:r>
              <w:rPr>
                <w:rFonts w:ascii="宋体" w:hAnsi="宋体" w:cs="宋体"/>
                <w:color w:val="auto"/>
                <w:sz w:val="20"/>
                <w:szCs w:val="20"/>
              </w:rPr>
              <w:t>TCP/IP</w:t>
            </w:r>
            <w:r>
              <w:rPr>
                <w:rFonts w:hint="eastAsia" w:ascii="宋体" w:hAnsi="宋体" w:cs="宋体"/>
                <w:color w:val="auto"/>
                <w:sz w:val="20"/>
                <w:szCs w:val="20"/>
              </w:rPr>
              <w:t>、</w:t>
            </w:r>
            <w:r>
              <w:rPr>
                <w:rFonts w:ascii="宋体" w:hAnsi="宋体" w:cs="宋体"/>
                <w:color w:val="auto"/>
                <w:sz w:val="20"/>
                <w:szCs w:val="20"/>
              </w:rPr>
              <w:t>UDP</w:t>
            </w:r>
            <w:r>
              <w:rPr>
                <w:rFonts w:hint="eastAsia" w:ascii="宋体" w:hAnsi="宋体" w:cs="宋体"/>
                <w:color w:val="auto"/>
                <w:sz w:val="20"/>
                <w:szCs w:val="20"/>
              </w:rPr>
              <w:t>协议。</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支持求助信号铃声、闪灯提示，一键接受求助、对讲功能，同时也可以支持免提通话和接收广播，实现快速链接。</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广播终端可进行远程固件升级。</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支持按键自定义，一键呼叫广播功能。</w:t>
            </w:r>
            <w:r>
              <w:rPr>
                <w:rFonts w:ascii="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．信噪比：不低于</w:t>
            </w:r>
            <w:r>
              <w:rPr>
                <w:rFonts w:ascii="宋体" w:hAnsi="宋体" w:cs="宋体"/>
                <w:color w:val="auto"/>
                <w:sz w:val="20"/>
                <w:szCs w:val="20"/>
              </w:rPr>
              <w:t>65dB</w:t>
            </w:r>
            <w:r>
              <w:rPr>
                <w:rFonts w:hint="eastAsia" w:ascii="宋体" w:hAnsi="宋体" w:cs="宋体"/>
                <w:color w:val="auto"/>
                <w:sz w:val="20"/>
                <w:szCs w:val="20"/>
              </w:rPr>
              <w:t>，扬声器总偕波失真：≤</w:t>
            </w:r>
            <w:r>
              <w:rPr>
                <w:rFonts w:ascii="宋体" w:hAnsi="宋体" w:cs="宋体"/>
                <w:color w:val="auto"/>
                <w:sz w:val="20"/>
                <w:szCs w:val="20"/>
              </w:rPr>
              <w:t>1%</w:t>
            </w:r>
            <w:r>
              <w:rPr>
                <w:rFonts w:ascii="宋体" w:hAnsi="宋体" w:cs="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．内置喇叭频率响应：</w:t>
            </w:r>
            <w:r>
              <w:rPr>
                <w:rFonts w:ascii="宋体" w:hAnsi="宋体" w:cs="宋体"/>
                <w:color w:val="auto"/>
                <w:sz w:val="20"/>
                <w:szCs w:val="20"/>
              </w:rPr>
              <w:t>317Hz~3.4KHz  +1/-3dB</w:t>
            </w:r>
            <w:r>
              <w:rPr>
                <w:rFonts w:hint="eastAsia" w:ascii="宋体" w:hAnsi="宋体" w:cs="宋体"/>
                <w:color w:val="auto"/>
                <w:sz w:val="20"/>
                <w:szCs w:val="20"/>
              </w:rPr>
              <w:t>；</w:t>
            </w:r>
            <w:r>
              <w:rPr>
                <w:rFonts w:ascii="宋体" w:hAnsi="宋体" w:cs="宋体"/>
                <w:color w:val="auto"/>
                <w:sz w:val="20"/>
                <w:szCs w:val="20"/>
              </w:rPr>
              <w:t>LIEN OUT</w:t>
            </w:r>
            <w:r>
              <w:rPr>
                <w:rFonts w:hint="eastAsia" w:ascii="宋体" w:hAnsi="宋体" w:cs="宋体"/>
                <w:color w:val="auto"/>
                <w:sz w:val="20"/>
                <w:szCs w:val="20"/>
              </w:rPr>
              <w:t>频率响应：</w:t>
            </w:r>
            <w:r>
              <w:rPr>
                <w:rFonts w:ascii="宋体" w:hAnsi="宋体" w:cs="宋体"/>
                <w:color w:val="auto"/>
                <w:sz w:val="20"/>
                <w:szCs w:val="20"/>
              </w:rPr>
              <w:t>80Hz~16KHz  +1/-3dB</w:t>
            </w:r>
            <w:r>
              <w:rPr>
                <w:rFonts w:ascii="宋体" w:hAnsi="宋体" w:cs="宋体"/>
                <w:color w:val="auto"/>
                <w:sz w:val="20"/>
                <w:szCs w:val="20"/>
              </w:rPr>
              <w:br w:type="textWrapping"/>
            </w:r>
            <w:r>
              <w:rPr>
                <w:rFonts w:ascii="宋体" w:hAnsi="宋体" w:cs="宋体"/>
                <w:color w:val="auto"/>
                <w:sz w:val="20"/>
                <w:szCs w:val="20"/>
              </w:rPr>
              <w:t>11</w:t>
            </w:r>
            <w:r>
              <w:rPr>
                <w:rFonts w:hint="eastAsia" w:ascii="宋体" w:hAnsi="宋体" w:cs="宋体"/>
                <w:color w:val="auto"/>
                <w:sz w:val="20"/>
                <w:szCs w:val="20"/>
              </w:rPr>
              <w:t>．</w:t>
            </w:r>
            <w:r>
              <w:rPr>
                <w:rFonts w:ascii="宋体" w:hAnsi="宋体" w:cs="宋体"/>
                <w:color w:val="auto"/>
                <w:sz w:val="20"/>
                <w:szCs w:val="20"/>
              </w:rPr>
              <w:t>LINE IN</w:t>
            </w:r>
            <w:r>
              <w:rPr>
                <w:rFonts w:hint="eastAsia" w:ascii="宋体" w:hAnsi="宋体" w:cs="宋体"/>
                <w:color w:val="auto"/>
                <w:sz w:val="20"/>
                <w:szCs w:val="20"/>
              </w:rPr>
              <w:t>输入灵敏度：不低于</w:t>
            </w:r>
            <w:r>
              <w:rPr>
                <w:rFonts w:ascii="宋体" w:hAnsi="宋体" w:cs="宋体"/>
                <w:color w:val="auto"/>
                <w:sz w:val="20"/>
                <w:szCs w:val="20"/>
              </w:rPr>
              <w:t>350mV</w:t>
            </w:r>
            <w:r>
              <w:rPr>
                <w:rFonts w:ascii="宋体" w:hAnsi="宋体" w:cs="宋体"/>
                <w:color w:val="auto"/>
                <w:sz w:val="20"/>
                <w:szCs w:val="20"/>
              </w:rPr>
              <w:br w:type="textWrapping"/>
            </w:r>
            <w:r>
              <w:rPr>
                <w:rFonts w:ascii="宋体" w:hAnsi="宋体" w:cs="宋体"/>
                <w:color w:val="auto"/>
                <w:sz w:val="20"/>
                <w:szCs w:val="20"/>
              </w:rPr>
              <w:t>12</w:t>
            </w:r>
            <w:r>
              <w:rPr>
                <w:rFonts w:hint="eastAsia" w:ascii="宋体" w:hAnsi="宋体" w:cs="宋体"/>
                <w:color w:val="auto"/>
                <w:sz w:val="20"/>
                <w:szCs w:val="20"/>
              </w:rPr>
              <w:t>．</w:t>
            </w:r>
            <w:r>
              <w:rPr>
                <w:rFonts w:ascii="宋体" w:hAnsi="宋体" w:cs="宋体"/>
                <w:color w:val="auto"/>
                <w:sz w:val="20"/>
                <w:szCs w:val="20"/>
              </w:rPr>
              <w:t>MIC</w:t>
            </w:r>
            <w:r>
              <w:rPr>
                <w:rFonts w:hint="eastAsia" w:ascii="宋体" w:hAnsi="宋体" w:cs="宋体"/>
                <w:color w:val="auto"/>
                <w:sz w:val="20"/>
                <w:szCs w:val="20"/>
              </w:rPr>
              <w:t>输入灵敏度（非平衡）：不低于</w:t>
            </w:r>
            <w:r>
              <w:rPr>
                <w:rFonts w:ascii="宋体" w:hAnsi="宋体" w:cs="宋体"/>
                <w:color w:val="auto"/>
                <w:sz w:val="20"/>
                <w:szCs w:val="20"/>
              </w:rPr>
              <w:t>10mV</w:t>
            </w:r>
            <w:r>
              <w:rPr>
                <w:rFonts w:ascii="宋体" w:hAnsi="宋体" w:cs="宋体"/>
                <w:color w:val="auto"/>
                <w:sz w:val="20"/>
                <w:szCs w:val="20"/>
              </w:rPr>
              <w:br w:type="textWrapping"/>
            </w:r>
            <w:r>
              <w:rPr>
                <w:rFonts w:ascii="宋体" w:hAnsi="宋体" w:cs="宋体"/>
                <w:color w:val="auto"/>
                <w:sz w:val="20"/>
                <w:szCs w:val="20"/>
              </w:rPr>
              <w:t>13</w:t>
            </w:r>
            <w:r>
              <w:rPr>
                <w:rFonts w:hint="eastAsia" w:ascii="宋体" w:hAnsi="宋体" w:cs="宋体"/>
                <w:color w:val="auto"/>
                <w:sz w:val="20"/>
                <w:szCs w:val="20"/>
              </w:rPr>
              <w:t>．网络接口：标准</w:t>
            </w:r>
            <w:r>
              <w:rPr>
                <w:rFonts w:ascii="宋体" w:hAnsi="宋体" w:cs="宋体"/>
                <w:color w:val="auto"/>
                <w:sz w:val="20"/>
                <w:szCs w:val="20"/>
              </w:rPr>
              <w:t>RJ45</w:t>
            </w:r>
            <w:r>
              <w:rPr>
                <w:rFonts w:hint="eastAsia" w:ascii="宋体" w:hAnsi="宋体" w:cs="宋体"/>
                <w:color w:val="auto"/>
                <w:sz w:val="20"/>
                <w:szCs w:val="20"/>
              </w:rPr>
              <w:t>输入；支持协议：</w:t>
            </w:r>
            <w:r>
              <w:rPr>
                <w:rFonts w:ascii="宋体" w:hAnsi="宋体" w:cs="宋体"/>
                <w:color w:val="auto"/>
                <w:sz w:val="20"/>
                <w:szCs w:val="20"/>
              </w:rPr>
              <w:t>TCP/IP</w:t>
            </w:r>
            <w:r>
              <w:rPr>
                <w:rFonts w:hint="eastAsia" w:ascii="宋体" w:hAnsi="宋体" w:cs="宋体"/>
                <w:color w:val="auto"/>
                <w:sz w:val="20"/>
                <w:szCs w:val="20"/>
              </w:rPr>
              <w:t>，</w:t>
            </w:r>
            <w:r>
              <w:rPr>
                <w:rFonts w:ascii="宋体" w:hAnsi="宋体" w:cs="宋体"/>
                <w:color w:val="auto"/>
                <w:sz w:val="20"/>
                <w:szCs w:val="20"/>
              </w:rPr>
              <w:t>UDP</w:t>
            </w:r>
            <w:r>
              <w:rPr>
                <w:rFonts w:hint="eastAsia" w:ascii="宋体" w:hAnsi="宋体" w:cs="宋体"/>
                <w:color w:val="auto"/>
                <w:sz w:val="20"/>
                <w:szCs w:val="20"/>
              </w:rPr>
              <w:t>；音频模式：</w:t>
            </w:r>
            <w:r>
              <w:rPr>
                <w:rFonts w:ascii="宋体" w:hAnsi="宋体" w:cs="宋体"/>
                <w:color w:val="auto"/>
                <w:sz w:val="20"/>
                <w:szCs w:val="20"/>
              </w:rPr>
              <w:t>16</w:t>
            </w:r>
            <w:r>
              <w:rPr>
                <w:rFonts w:hint="eastAsia" w:ascii="宋体" w:hAnsi="宋体" w:cs="宋体"/>
                <w:color w:val="auto"/>
                <w:sz w:val="20"/>
                <w:szCs w:val="20"/>
              </w:rPr>
              <w:t>位</w:t>
            </w:r>
            <w:r>
              <w:rPr>
                <w:rFonts w:ascii="宋体" w:hAnsi="宋体" w:cs="宋体"/>
                <w:color w:val="auto"/>
                <w:sz w:val="20"/>
                <w:szCs w:val="20"/>
              </w:rPr>
              <w:t>CD</w:t>
            </w:r>
            <w:r>
              <w:rPr>
                <w:rFonts w:hint="eastAsia" w:ascii="宋体" w:hAnsi="宋体" w:cs="宋体"/>
                <w:color w:val="auto"/>
                <w:sz w:val="20"/>
                <w:szCs w:val="20"/>
              </w:rPr>
              <w:t>音质</w:t>
            </w:r>
            <w:r>
              <w:rPr>
                <w:rFonts w:ascii="宋体"/>
                <w:color w:val="auto"/>
                <w:sz w:val="20"/>
                <w:szCs w:val="20"/>
              </w:rPr>
              <w:br w:type="textWrapping"/>
            </w:r>
            <w:r>
              <w:rPr>
                <w:rFonts w:ascii="宋体" w:hAnsi="宋体" w:cs="宋体"/>
                <w:color w:val="auto"/>
                <w:sz w:val="20"/>
                <w:szCs w:val="20"/>
              </w:rPr>
              <w:t>14</w:t>
            </w:r>
            <w:r>
              <w:rPr>
                <w:rFonts w:hint="eastAsia" w:ascii="宋体" w:hAnsi="宋体" w:cs="宋体"/>
                <w:color w:val="auto"/>
                <w:sz w:val="20"/>
                <w:szCs w:val="20"/>
              </w:rPr>
              <w:t>．音频格式：</w:t>
            </w:r>
            <w:r>
              <w:rPr>
                <w:rFonts w:ascii="宋体" w:hAnsi="宋体" w:cs="宋体"/>
                <w:color w:val="auto"/>
                <w:sz w:val="20"/>
                <w:szCs w:val="20"/>
              </w:rPr>
              <w:t>MP3</w:t>
            </w:r>
            <w:r>
              <w:rPr>
                <w:rFonts w:hint="eastAsia" w:ascii="宋体" w:hAnsi="宋体" w:cs="宋体"/>
                <w:color w:val="auto"/>
                <w:sz w:val="20"/>
                <w:szCs w:val="20"/>
              </w:rPr>
              <w:t>；采样率：</w:t>
            </w:r>
            <w:r>
              <w:rPr>
                <w:rFonts w:ascii="宋体" w:hAnsi="宋体" w:cs="宋体"/>
                <w:color w:val="auto"/>
                <w:sz w:val="20"/>
                <w:szCs w:val="20"/>
              </w:rPr>
              <w:t>8KHz~48KHz</w:t>
            </w:r>
            <w:r>
              <w:rPr>
                <w:rFonts w:hint="eastAsia" w:ascii="宋体" w:hAnsi="宋体" w:cs="宋体"/>
                <w:color w:val="auto"/>
                <w:sz w:val="20"/>
                <w:szCs w:val="20"/>
              </w:rPr>
              <w:t>；传输速率：</w:t>
            </w:r>
            <w:r>
              <w:rPr>
                <w:rFonts w:ascii="宋体" w:hAnsi="宋体" w:cs="宋体"/>
                <w:color w:val="auto"/>
                <w:sz w:val="20"/>
                <w:szCs w:val="20"/>
              </w:rPr>
              <w:t>100Mbps</w:t>
            </w:r>
            <w:r>
              <w:rPr>
                <w:rFonts w:ascii="宋体" w:hAnsi="宋体" w:cs="宋体"/>
                <w:color w:val="auto"/>
                <w:sz w:val="20"/>
                <w:szCs w:val="20"/>
              </w:rPr>
              <w:br w:type="textWrapping"/>
            </w:r>
            <w:r>
              <w:rPr>
                <w:rFonts w:ascii="宋体" w:hAnsi="宋体" w:cs="宋体"/>
                <w:color w:val="auto"/>
                <w:sz w:val="20"/>
                <w:szCs w:val="20"/>
              </w:rPr>
              <w:t>15</w:t>
            </w:r>
            <w:r>
              <w:rPr>
                <w:rFonts w:hint="eastAsia" w:ascii="宋体" w:hAnsi="宋体" w:cs="宋体"/>
                <w:color w:val="auto"/>
                <w:sz w:val="20"/>
                <w:szCs w:val="20"/>
              </w:rPr>
              <w:t>．键盘类型：虚拟</w:t>
            </w:r>
            <w:r>
              <w:rPr>
                <w:rFonts w:ascii="宋体" w:hAnsi="宋体" w:cs="宋体"/>
                <w:color w:val="auto"/>
                <w:sz w:val="20"/>
                <w:szCs w:val="20"/>
              </w:rPr>
              <w:t>QWERTY</w:t>
            </w:r>
            <w:r>
              <w:rPr>
                <w:rFonts w:hint="eastAsia" w:ascii="宋体" w:hAnsi="宋体" w:cs="宋体"/>
                <w:color w:val="auto"/>
                <w:sz w:val="20"/>
                <w:szCs w:val="20"/>
              </w:rPr>
              <w:t>键盘；键盘输入方式：触控</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30</w:t>
            </w:r>
          </w:p>
        </w:tc>
      </w:tr>
      <w:tr>
        <w:tblPrEx>
          <w:tblCellMar>
            <w:top w:w="0" w:type="dxa"/>
            <w:left w:w="108" w:type="dxa"/>
            <w:bottom w:w="0" w:type="dxa"/>
            <w:right w:w="108" w:type="dxa"/>
          </w:tblCellMar>
        </w:tblPrEx>
        <w:trPr>
          <w:trHeight w:val="264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9</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话筒呼叫控制嵌入软件</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软件内嵌于话筒设备，实现话筒呼叫控制功能，支撑设备各项基本功能的运行。</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授权操作管理功能，支持服务器统一配置管理用户及密码。</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支持新配置注册智能语音提示功能。</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支持多种呼叫策略，包括呼叫转移、呼叫等待、无人接听提醒等。</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支持双向对讲功能，可与另一方对讲终端实现双向语音传输功能。</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可实现分区</w:t>
            </w:r>
            <w:r>
              <w:rPr>
                <w:rFonts w:ascii="宋体" w:hAnsi="宋体" w:cs="宋体"/>
                <w:color w:val="auto"/>
                <w:sz w:val="20"/>
                <w:szCs w:val="20"/>
              </w:rPr>
              <w:t>/</w:t>
            </w:r>
            <w:r>
              <w:rPr>
                <w:rFonts w:hint="eastAsia" w:ascii="宋体" w:hAnsi="宋体" w:cs="宋体"/>
                <w:color w:val="auto"/>
                <w:sz w:val="20"/>
                <w:szCs w:val="20"/>
              </w:rPr>
              <w:t>全区进行喊话</w:t>
            </w:r>
            <w:r>
              <w:rPr>
                <w:rFonts w:ascii="宋体" w:hAnsi="宋体" w:cs="宋体"/>
                <w:color w:val="auto"/>
                <w:sz w:val="20"/>
                <w:szCs w:val="20"/>
              </w:rPr>
              <w:t>/</w:t>
            </w:r>
            <w:r>
              <w:rPr>
                <w:rFonts w:hint="eastAsia" w:ascii="宋体" w:hAnsi="宋体" w:cs="宋体"/>
                <w:color w:val="auto"/>
                <w:sz w:val="20"/>
                <w:szCs w:val="20"/>
              </w:rPr>
              <w:t>广播功能。</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支持单独调节音量。</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30</w:t>
            </w:r>
          </w:p>
        </w:tc>
      </w:tr>
      <w:tr>
        <w:tblPrEx>
          <w:tblCellMar>
            <w:top w:w="0" w:type="dxa"/>
            <w:left w:w="108" w:type="dxa"/>
            <w:bottom w:w="0" w:type="dxa"/>
            <w:right w:w="108" w:type="dxa"/>
          </w:tblCellMar>
        </w:tblPrEx>
        <w:trPr>
          <w:trHeight w:val="432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10</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数字功放</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采用先进的</w:t>
            </w:r>
            <w:r>
              <w:rPr>
                <w:rFonts w:ascii="宋体" w:hAnsi="宋体" w:cs="宋体"/>
                <w:color w:val="auto"/>
                <w:sz w:val="20"/>
                <w:szCs w:val="20"/>
              </w:rPr>
              <w:t>D</w:t>
            </w:r>
            <w:r>
              <w:rPr>
                <w:rFonts w:hint="eastAsia" w:ascii="宋体" w:hAnsi="宋体" w:cs="宋体"/>
                <w:color w:val="auto"/>
                <w:sz w:val="20"/>
                <w:szCs w:val="20"/>
              </w:rPr>
              <w:t>类功放设计技术。</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设备具有定压</w:t>
            </w:r>
            <w:r>
              <w:rPr>
                <w:rFonts w:ascii="宋体" w:hAnsi="宋体" w:cs="宋体"/>
                <w:color w:val="auto"/>
                <w:sz w:val="20"/>
                <w:szCs w:val="20"/>
              </w:rPr>
              <w:t>100V/</w:t>
            </w:r>
            <w:r>
              <w:rPr>
                <w:rFonts w:hint="eastAsia" w:ascii="宋体" w:hAnsi="宋体" w:cs="宋体"/>
                <w:color w:val="auto"/>
                <w:sz w:val="20"/>
                <w:szCs w:val="20"/>
              </w:rPr>
              <w:t>定阻</w:t>
            </w:r>
            <w:r>
              <w:rPr>
                <w:rFonts w:ascii="宋体" w:hAnsi="宋体" w:cs="宋体"/>
                <w:color w:val="auto"/>
                <w:sz w:val="20"/>
                <w:szCs w:val="20"/>
              </w:rPr>
              <w:t>4-16</w:t>
            </w:r>
            <w:r>
              <w:rPr>
                <w:rFonts w:hint="eastAsia" w:ascii="宋体" w:hAnsi="宋体" w:cs="宋体"/>
                <w:color w:val="auto"/>
                <w:sz w:val="20"/>
                <w:szCs w:val="20"/>
              </w:rPr>
              <w:t>Ω功率切换输出接口，实现带载功能。</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设备具有故障报警、功放状况检测功能。</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设备具有独立电源供电、输入、输出接口。</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输出功率：不低于</w:t>
            </w:r>
            <w:r>
              <w:rPr>
                <w:rFonts w:ascii="宋体" w:hAnsi="宋体" w:cs="宋体"/>
                <w:color w:val="auto"/>
                <w:sz w:val="20"/>
                <w:szCs w:val="20"/>
              </w:rPr>
              <w:t>650W</w:t>
            </w:r>
            <w:r>
              <w:rPr>
                <w:rFonts w:ascii="宋体" w:hAnsi="宋体" w:cs="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输出方式：</w:t>
            </w:r>
            <w:r>
              <w:rPr>
                <w:rFonts w:ascii="宋体" w:hAnsi="宋体" w:cs="宋体"/>
                <w:color w:val="auto"/>
                <w:sz w:val="20"/>
                <w:szCs w:val="20"/>
              </w:rPr>
              <w:t>100V</w:t>
            </w:r>
            <w:r>
              <w:rPr>
                <w:rFonts w:hint="eastAsia" w:ascii="宋体" w:hAnsi="宋体" w:cs="宋体"/>
                <w:color w:val="auto"/>
                <w:sz w:val="20"/>
                <w:szCs w:val="20"/>
              </w:rPr>
              <w:t>定压输出、</w:t>
            </w:r>
            <w:r>
              <w:rPr>
                <w:rFonts w:ascii="宋体" w:hAnsi="宋体" w:cs="宋体"/>
                <w:color w:val="auto"/>
                <w:sz w:val="20"/>
                <w:szCs w:val="20"/>
              </w:rPr>
              <w:t>4-16</w:t>
            </w:r>
            <w:r>
              <w:rPr>
                <w:rFonts w:hint="eastAsia" w:ascii="宋体" w:hAnsi="宋体" w:cs="宋体"/>
                <w:color w:val="auto"/>
                <w:sz w:val="20"/>
                <w:szCs w:val="20"/>
              </w:rPr>
              <w:t>Ω定阻输出</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输入灵敏度（阻抗）：±</w:t>
            </w:r>
            <w:r>
              <w:rPr>
                <w:rFonts w:ascii="宋体" w:hAnsi="宋体" w:cs="宋体"/>
                <w:color w:val="auto"/>
                <w:sz w:val="20"/>
                <w:szCs w:val="20"/>
              </w:rPr>
              <w:t>385mV/20K</w:t>
            </w:r>
            <w:r>
              <w:rPr>
                <w:rFonts w:hint="eastAsia" w:ascii="宋体" w:hAnsi="宋体" w:cs="宋体"/>
                <w:color w:val="auto"/>
                <w:sz w:val="20"/>
                <w:szCs w:val="20"/>
              </w:rPr>
              <w:t>Ω（平衡）</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频响：</w:t>
            </w:r>
            <w:r>
              <w:rPr>
                <w:rFonts w:ascii="宋体" w:hAnsi="宋体" w:cs="宋体"/>
                <w:color w:val="auto"/>
                <w:sz w:val="20"/>
                <w:szCs w:val="20"/>
              </w:rPr>
              <w:t>80Hz~16KHz (+1, -3dB)</w:t>
            </w:r>
            <w:r>
              <w:rPr>
                <w:rFonts w:ascii="宋体" w:hAnsi="宋体" w:cs="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信噪比：≥</w:t>
            </w:r>
            <w:r>
              <w:rPr>
                <w:rFonts w:ascii="宋体" w:hAnsi="宋体" w:cs="宋体"/>
                <w:color w:val="auto"/>
                <w:sz w:val="20"/>
                <w:szCs w:val="20"/>
              </w:rPr>
              <w:t>85dB</w:t>
            </w:r>
            <w:r>
              <w:rPr>
                <w:rFonts w:ascii="宋体" w:hAnsi="宋体" w:cs="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总谐波失真：≤</w:t>
            </w:r>
            <w:r>
              <w:rPr>
                <w:rFonts w:ascii="宋体" w:hAnsi="宋体" w:cs="宋体"/>
                <w:color w:val="auto"/>
                <w:sz w:val="20"/>
                <w:szCs w:val="20"/>
              </w:rPr>
              <w:t xml:space="preserve">0.1% at 1KHz, 1/3 </w:t>
            </w:r>
            <w:r>
              <w:rPr>
                <w:rFonts w:hint="eastAsia" w:ascii="宋体" w:hAnsi="宋体" w:cs="宋体"/>
                <w:color w:val="auto"/>
                <w:sz w:val="20"/>
                <w:szCs w:val="20"/>
              </w:rPr>
              <w:t>额定功率</w:t>
            </w:r>
            <w:r>
              <w:rPr>
                <w:rFonts w:ascii="宋体"/>
                <w:color w:val="auto"/>
                <w:sz w:val="20"/>
                <w:szCs w:val="20"/>
              </w:rPr>
              <w:br w:type="textWrapping"/>
            </w:r>
            <w:r>
              <w:rPr>
                <w:rFonts w:ascii="宋体" w:hAnsi="宋体" w:cs="宋体"/>
                <w:color w:val="auto"/>
                <w:sz w:val="20"/>
                <w:szCs w:val="20"/>
              </w:rPr>
              <w:t>11.</w:t>
            </w:r>
            <w:r>
              <w:rPr>
                <w:rFonts w:hint="eastAsia" w:ascii="宋体" w:hAnsi="宋体" w:cs="宋体"/>
                <w:color w:val="auto"/>
                <w:sz w:val="20"/>
                <w:szCs w:val="20"/>
              </w:rPr>
              <w:t>具有远程电源开关控制和故障检测反馈，具有高温保护、过载保护、短路保护功能，具有风机强制通风散热功能。并具有信号、峰值、保护、电源等状态指示功能。</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w:t>
            </w:r>
          </w:p>
        </w:tc>
      </w:tr>
      <w:tr>
        <w:tblPrEx>
          <w:tblCellMar>
            <w:top w:w="0" w:type="dxa"/>
            <w:left w:w="108" w:type="dxa"/>
            <w:bottom w:w="0" w:type="dxa"/>
            <w:right w:w="108" w:type="dxa"/>
          </w:tblCellMar>
        </w:tblPrEx>
        <w:trPr>
          <w:trHeight w:val="308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11</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网络功放终端</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highlight w:val="none"/>
              </w:rPr>
            </w:pPr>
            <w:r>
              <w:rPr>
                <w:rFonts w:ascii="宋体" w:hAnsi="宋体" w:cs="宋体"/>
                <w:color w:val="auto"/>
                <w:sz w:val="20"/>
                <w:szCs w:val="20"/>
                <w:highlight w:val="none"/>
              </w:rPr>
              <w:t>1.</w:t>
            </w:r>
            <w:r>
              <w:rPr>
                <w:rFonts w:hint="eastAsia" w:ascii="宋体" w:hAnsi="宋体" w:cs="宋体"/>
                <w:color w:val="auto"/>
                <w:sz w:val="20"/>
                <w:szCs w:val="20"/>
                <w:highlight w:val="none"/>
              </w:rPr>
              <w:t>设备采用数字音频处理技术设计。</w:t>
            </w:r>
            <w:r>
              <w:rPr>
                <w:rFonts w:ascii="宋体"/>
                <w:color w:val="auto"/>
                <w:sz w:val="20"/>
                <w:szCs w:val="20"/>
                <w:highlight w:val="none"/>
              </w:rPr>
              <w:br w:type="textWrapping"/>
            </w:r>
            <w:r>
              <w:rPr>
                <w:rFonts w:ascii="宋体" w:hAnsi="宋体" w:cs="宋体"/>
                <w:color w:val="auto"/>
                <w:sz w:val="20"/>
                <w:szCs w:val="20"/>
                <w:highlight w:val="none"/>
              </w:rPr>
              <w:t>2.</w:t>
            </w:r>
            <w:r>
              <w:rPr>
                <w:rFonts w:hint="eastAsia" w:ascii="宋体" w:hAnsi="宋体" w:cs="宋体"/>
                <w:color w:val="auto"/>
                <w:sz w:val="20"/>
                <w:szCs w:val="20"/>
                <w:highlight w:val="none"/>
              </w:rPr>
              <w:t>带有液晶显示屏，可显示机器工作状态；支持红外遥控器。</w:t>
            </w:r>
            <w:r>
              <w:rPr>
                <w:rFonts w:ascii="宋体"/>
                <w:color w:val="auto"/>
                <w:sz w:val="20"/>
                <w:szCs w:val="20"/>
                <w:highlight w:val="none"/>
              </w:rPr>
              <w:br w:type="textWrapping"/>
            </w:r>
            <w:r>
              <w:rPr>
                <w:rFonts w:ascii="宋体" w:hAnsi="宋体" w:cs="宋体"/>
                <w:color w:val="auto"/>
                <w:sz w:val="20"/>
                <w:szCs w:val="20"/>
                <w:highlight w:val="none"/>
              </w:rPr>
              <w:t>3.</w:t>
            </w:r>
            <w:r>
              <w:rPr>
                <w:rFonts w:hint="eastAsia" w:ascii="宋体" w:hAnsi="宋体" w:cs="宋体"/>
                <w:color w:val="auto"/>
                <w:sz w:val="20"/>
                <w:szCs w:val="20"/>
                <w:highlight w:val="none"/>
              </w:rPr>
              <w:t>具有</w:t>
            </w:r>
            <w:r>
              <w:rPr>
                <w:rFonts w:ascii="宋体" w:hAnsi="宋体" w:cs="宋体"/>
                <w:color w:val="auto"/>
                <w:sz w:val="20"/>
                <w:szCs w:val="20"/>
                <w:highlight w:val="none"/>
              </w:rPr>
              <w:t>AUX</w:t>
            </w:r>
            <w:r>
              <w:rPr>
                <w:rFonts w:hint="eastAsia" w:ascii="宋体" w:hAnsi="宋体" w:cs="宋体"/>
                <w:color w:val="auto"/>
                <w:sz w:val="20"/>
                <w:szCs w:val="20"/>
                <w:highlight w:val="none"/>
              </w:rPr>
              <w:t>和</w:t>
            </w:r>
            <w:r>
              <w:rPr>
                <w:rFonts w:ascii="宋体" w:hAnsi="宋体" w:cs="宋体"/>
                <w:color w:val="auto"/>
                <w:sz w:val="20"/>
                <w:szCs w:val="20"/>
                <w:highlight w:val="none"/>
              </w:rPr>
              <w:t>MIC</w:t>
            </w:r>
            <w:r>
              <w:rPr>
                <w:rFonts w:hint="eastAsia" w:ascii="宋体" w:hAnsi="宋体" w:cs="宋体"/>
                <w:color w:val="auto"/>
                <w:sz w:val="20"/>
                <w:szCs w:val="20"/>
                <w:highlight w:val="none"/>
              </w:rPr>
              <w:t>输入接口，可实现音量调节和高低音调节。</w:t>
            </w:r>
            <w:r>
              <w:rPr>
                <w:rFonts w:ascii="宋体"/>
                <w:color w:val="auto"/>
                <w:sz w:val="20"/>
                <w:szCs w:val="20"/>
                <w:highlight w:val="none"/>
              </w:rPr>
              <w:br w:type="textWrapping"/>
            </w:r>
            <w:r>
              <w:rPr>
                <w:rFonts w:ascii="宋体" w:hAnsi="宋体" w:cs="宋体"/>
                <w:color w:val="auto"/>
                <w:sz w:val="20"/>
                <w:szCs w:val="20"/>
                <w:highlight w:val="none"/>
              </w:rPr>
              <w:t>4.</w:t>
            </w:r>
            <w:r>
              <w:rPr>
                <w:rFonts w:hint="eastAsia" w:ascii="宋体" w:hAnsi="宋体" w:cs="宋体"/>
                <w:color w:val="auto"/>
                <w:sz w:val="20"/>
                <w:szCs w:val="20"/>
                <w:highlight w:val="none"/>
              </w:rPr>
              <w:t>支持广播系统对终端进行远程固件升级。具有</w:t>
            </w:r>
            <w:r>
              <w:rPr>
                <w:rFonts w:ascii="宋体" w:hAnsi="宋体" w:cs="宋体"/>
                <w:color w:val="auto"/>
                <w:sz w:val="20"/>
                <w:szCs w:val="20"/>
                <w:highlight w:val="none"/>
              </w:rPr>
              <w:t>USB</w:t>
            </w:r>
            <w:r>
              <w:rPr>
                <w:rFonts w:hint="eastAsia" w:ascii="宋体" w:hAnsi="宋体" w:cs="宋体"/>
                <w:color w:val="auto"/>
                <w:sz w:val="20"/>
                <w:szCs w:val="20"/>
                <w:highlight w:val="none"/>
              </w:rPr>
              <w:t>接口及播放功能。可实现</w:t>
            </w:r>
            <w:r>
              <w:rPr>
                <w:rFonts w:ascii="宋体" w:hAnsi="宋体" w:cs="宋体"/>
                <w:color w:val="auto"/>
                <w:sz w:val="20"/>
                <w:szCs w:val="20"/>
                <w:highlight w:val="none"/>
              </w:rPr>
              <w:t>U</w:t>
            </w:r>
            <w:r>
              <w:rPr>
                <w:rFonts w:hint="eastAsia" w:ascii="宋体" w:hAnsi="宋体" w:cs="宋体"/>
                <w:color w:val="auto"/>
                <w:sz w:val="20"/>
                <w:szCs w:val="20"/>
                <w:highlight w:val="none"/>
              </w:rPr>
              <w:t>盘远程红外遥控器控制播放。</w:t>
            </w:r>
            <w:r>
              <w:rPr>
                <w:rFonts w:ascii="宋体"/>
                <w:color w:val="auto"/>
                <w:sz w:val="20"/>
                <w:szCs w:val="20"/>
                <w:highlight w:val="none"/>
              </w:rPr>
              <w:br w:type="textWrapping"/>
            </w:r>
            <w:r>
              <w:rPr>
                <w:rFonts w:ascii="宋体" w:hAnsi="宋体" w:cs="宋体"/>
                <w:color w:val="auto"/>
                <w:sz w:val="20"/>
                <w:szCs w:val="20"/>
                <w:highlight w:val="none"/>
              </w:rPr>
              <w:t>5.</w:t>
            </w:r>
            <w:r>
              <w:rPr>
                <w:rFonts w:hint="eastAsia" w:ascii="宋体" w:hAnsi="宋体" w:cs="宋体"/>
                <w:color w:val="auto"/>
                <w:sz w:val="20"/>
                <w:szCs w:val="20"/>
                <w:highlight w:val="none"/>
              </w:rPr>
              <w:t>具有</w:t>
            </w:r>
            <w:r>
              <w:rPr>
                <w:rFonts w:ascii="宋体" w:hAnsi="宋体" w:cs="宋体"/>
                <w:color w:val="auto"/>
                <w:sz w:val="20"/>
                <w:szCs w:val="20"/>
                <w:highlight w:val="none"/>
              </w:rPr>
              <w:t>100V</w:t>
            </w:r>
            <w:r>
              <w:rPr>
                <w:rFonts w:hint="eastAsia" w:ascii="宋体" w:hAnsi="宋体" w:cs="宋体"/>
                <w:color w:val="auto"/>
                <w:sz w:val="20"/>
                <w:szCs w:val="20"/>
                <w:highlight w:val="none"/>
              </w:rPr>
              <w:t>定压功率备份输入接口。</w:t>
            </w:r>
            <w:r>
              <w:rPr>
                <w:rFonts w:ascii="宋体"/>
                <w:color w:val="auto"/>
                <w:sz w:val="20"/>
                <w:szCs w:val="20"/>
                <w:highlight w:val="none"/>
              </w:rPr>
              <w:br w:type="textWrapping"/>
            </w:r>
            <w:r>
              <w:rPr>
                <w:rFonts w:ascii="宋体" w:hAnsi="宋体" w:cs="宋体"/>
                <w:color w:val="auto"/>
                <w:sz w:val="20"/>
                <w:szCs w:val="20"/>
                <w:highlight w:val="none"/>
              </w:rPr>
              <w:t>6.</w:t>
            </w:r>
            <w:r>
              <w:rPr>
                <w:rFonts w:hint="eastAsia" w:ascii="宋体" w:hAnsi="宋体" w:cs="宋体"/>
                <w:color w:val="auto"/>
                <w:sz w:val="20"/>
                <w:szCs w:val="20"/>
                <w:highlight w:val="none"/>
              </w:rPr>
              <w:t>设备具有优先设置功能，最高级</w:t>
            </w:r>
            <w:r>
              <w:rPr>
                <w:rFonts w:ascii="宋体" w:hAnsi="宋体" w:cs="宋体"/>
                <w:color w:val="auto"/>
                <w:sz w:val="20"/>
                <w:szCs w:val="20"/>
                <w:highlight w:val="none"/>
              </w:rPr>
              <w:t>EMC</w:t>
            </w:r>
            <w:r>
              <w:rPr>
                <w:rFonts w:hint="eastAsia" w:ascii="宋体" w:hAnsi="宋体" w:cs="宋体"/>
                <w:color w:val="auto"/>
                <w:sz w:val="20"/>
                <w:szCs w:val="20"/>
                <w:highlight w:val="none"/>
              </w:rPr>
              <w:t>。网络报警信号优先</w:t>
            </w:r>
            <w:r>
              <w:rPr>
                <w:rFonts w:ascii="宋体" w:hAnsi="宋体" w:cs="宋体"/>
                <w:color w:val="auto"/>
                <w:sz w:val="20"/>
                <w:szCs w:val="20"/>
                <w:highlight w:val="none"/>
              </w:rPr>
              <w:t>MIC,AUX</w:t>
            </w:r>
            <w:r>
              <w:rPr>
                <w:rFonts w:hint="eastAsia" w:ascii="宋体" w:hAnsi="宋体" w:cs="宋体"/>
                <w:color w:val="auto"/>
                <w:sz w:val="20"/>
                <w:szCs w:val="20"/>
                <w:highlight w:val="none"/>
              </w:rPr>
              <w:t>和网络背景音乐信号。具有网络硬件音频解码模块，支持</w:t>
            </w:r>
            <w:r>
              <w:rPr>
                <w:rFonts w:ascii="宋体" w:hAnsi="宋体" w:cs="宋体"/>
                <w:color w:val="auto"/>
                <w:sz w:val="20"/>
                <w:szCs w:val="20"/>
                <w:highlight w:val="none"/>
              </w:rPr>
              <w:t>TCP/IP</w:t>
            </w:r>
            <w:r>
              <w:rPr>
                <w:rFonts w:hint="eastAsia" w:ascii="宋体" w:hAnsi="宋体" w:cs="宋体"/>
                <w:color w:val="auto"/>
                <w:sz w:val="20"/>
                <w:szCs w:val="20"/>
                <w:highlight w:val="none"/>
              </w:rPr>
              <w:t>、</w:t>
            </w:r>
            <w:r>
              <w:rPr>
                <w:rFonts w:ascii="宋体" w:hAnsi="宋体" w:cs="宋体"/>
                <w:color w:val="auto"/>
                <w:sz w:val="20"/>
                <w:szCs w:val="20"/>
                <w:highlight w:val="none"/>
              </w:rPr>
              <w:t>UDP</w:t>
            </w:r>
            <w:r>
              <w:rPr>
                <w:rFonts w:hint="eastAsia" w:ascii="宋体" w:hAnsi="宋体" w:cs="宋体"/>
                <w:color w:val="auto"/>
                <w:sz w:val="20"/>
                <w:szCs w:val="20"/>
                <w:highlight w:val="none"/>
              </w:rPr>
              <w:t>，实现网络化传输</w:t>
            </w:r>
            <w:r>
              <w:rPr>
                <w:rFonts w:ascii="宋体" w:hAnsi="宋体" w:cs="宋体"/>
                <w:color w:val="auto"/>
                <w:sz w:val="20"/>
                <w:szCs w:val="20"/>
                <w:highlight w:val="none"/>
              </w:rPr>
              <w:t>16</w:t>
            </w:r>
            <w:r>
              <w:rPr>
                <w:rFonts w:hint="eastAsia" w:ascii="宋体" w:hAnsi="宋体" w:cs="宋体"/>
                <w:color w:val="auto"/>
                <w:sz w:val="20"/>
                <w:szCs w:val="20"/>
                <w:highlight w:val="none"/>
              </w:rPr>
              <w:t>位</w:t>
            </w:r>
            <w:r>
              <w:rPr>
                <w:rFonts w:ascii="宋体" w:hAnsi="宋体" w:cs="宋体"/>
                <w:color w:val="auto"/>
                <w:sz w:val="20"/>
                <w:szCs w:val="20"/>
                <w:highlight w:val="none"/>
              </w:rPr>
              <w:t>CD</w:t>
            </w:r>
            <w:r>
              <w:rPr>
                <w:rFonts w:hint="eastAsia" w:ascii="宋体" w:hAnsi="宋体" w:cs="宋体"/>
                <w:color w:val="auto"/>
                <w:sz w:val="20"/>
                <w:szCs w:val="20"/>
                <w:highlight w:val="none"/>
              </w:rPr>
              <w:t>音质的音频信号。</w:t>
            </w:r>
            <w:r>
              <w:rPr>
                <w:rFonts w:ascii="宋体"/>
                <w:color w:val="auto"/>
                <w:sz w:val="20"/>
                <w:szCs w:val="20"/>
                <w:highlight w:val="none"/>
              </w:rPr>
              <w:br w:type="textWrapping"/>
            </w:r>
            <w:r>
              <w:rPr>
                <w:rFonts w:ascii="宋体" w:hAnsi="宋体" w:cs="宋体"/>
                <w:color w:val="auto"/>
                <w:sz w:val="20"/>
                <w:szCs w:val="20"/>
                <w:highlight w:val="none"/>
              </w:rPr>
              <w:t>7.</w:t>
            </w:r>
            <w:r>
              <w:rPr>
                <w:rFonts w:hint="eastAsia" w:ascii="宋体" w:hAnsi="宋体" w:cs="宋体"/>
                <w:color w:val="auto"/>
                <w:sz w:val="20"/>
                <w:szCs w:val="20"/>
                <w:highlight w:val="none"/>
              </w:rPr>
              <w:t>具有高保真专业数字功放，具有不低于</w:t>
            </w:r>
            <w:r>
              <w:rPr>
                <w:rFonts w:ascii="宋体" w:hAnsi="宋体" w:cs="宋体"/>
                <w:color w:val="auto"/>
                <w:sz w:val="20"/>
                <w:szCs w:val="20"/>
                <w:highlight w:val="none"/>
              </w:rPr>
              <w:t>500W</w:t>
            </w:r>
            <w:r>
              <w:rPr>
                <w:rFonts w:hint="eastAsia" w:ascii="宋体" w:hAnsi="宋体" w:cs="宋体"/>
                <w:color w:val="auto"/>
                <w:sz w:val="20"/>
                <w:szCs w:val="20"/>
                <w:highlight w:val="none"/>
              </w:rPr>
              <w:t>定压</w:t>
            </w:r>
            <w:r>
              <w:rPr>
                <w:rFonts w:ascii="宋体" w:hAnsi="宋体" w:cs="宋体"/>
                <w:color w:val="auto"/>
                <w:sz w:val="20"/>
                <w:szCs w:val="20"/>
                <w:highlight w:val="none"/>
              </w:rPr>
              <w:t>100V</w:t>
            </w:r>
            <w:r>
              <w:rPr>
                <w:rFonts w:hint="eastAsia" w:ascii="宋体" w:hAnsi="宋体" w:cs="宋体"/>
                <w:color w:val="auto"/>
                <w:sz w:val="20"/>
                <w:szCs w:val="20"/>
                <w:highlight w:val="none"/>
              </w:rPr>
              <w:t>功率输出。</w:t>
            </w:r>
            <w:r>
              <w:rPr>
                <w:rFonts w:ascii="宋体"/>
                <w:color w:val="auto"/>
                <w:sz w:val="20"/>
                <w:szCs w:val="20"/>
                <w:highlight w:val="none"/>
              </w:rPr>
              <w:br w:type="textWrapping"/>
            </w:r>
            <w:r>
              <w:rPr>
                <w:rFonts w:ascii="宋体" w:hAnsi="宋体" w:cs="宋体"/>
                <w:color w:val="auto"/>
                <w:sz w:val="20"/>
                <w:szCs w:val="20"/>
                <w:highlight w:val="none"/>
              </w:rPr>
              <w:t>8.</w:t>
            </w:r>
            <w:r>
              <w:rPr>
                <w:rFonts w:hint="eastAsia" w:ascii="宋体" w:hAnsi="宋体" w:cs="宋体"/>
                <w:color w:val="auto"/>
                <w:sz w:val="20"/>
                <w:szCs w:val="20"/>
                <w:highlight w:val="none"/>
              </w:rPr>
              <w:t>具有电源智能管理功能。无音乐或呼叫时，自动切断功放电源，有信号时自动打开功放电源，支持</w:t>
            </w:r>
            <w:r>
              <w:rPr>
                <w:rFonts w:ascii="宋体" w:hAnsi="宋体" w:cs="宋体"/>
                <w:color w:val="auto"/>
                <w:sz w:val="20"/>
                <w:szCs w:val="20"/>
                <w:highlight w:val="none"/>
              </w:rPr>
              <w:t>IP</w:t>
            </w:r>
            <w:r>
              <w:rPr>
                <w:rFonts w:hint="eastAsia" w:ascii="宋体" w:hAnsi="宋体" w:cs="宋体"/>
                <w:color w:val="auto"/>
                <w:sz w:val="20"/>
                <w:szCs w:val="20"/>
                <w:highlight w:val="none"/>
              </w:rPr>
              <w:t>软件编程预打开功放电源功能。</w:t>
            </w:r>
            <w:r>
              <w:rPr>
                <w:rFonts w:ascii="宋体"/>
                <w:color w:val="auto"/>
                <w:sz w:val="20"/>
                <w:szCs w:val="20"/>
                <w:highlight w:val="none"/>
              </w:rPr>
              <w:br w:type="textWrapping"/>
            </w:r>
            <w:r>
              <w:rPr>
                <w:rFonts w:hint="eastAsia" w:ascii="宋体" w:hAnsi="宋体" w:cs="宋体"/>
                <w:color w:val="auto"/>
                <w:sz w:val="20"/>
                <w:szCs w:val="20"/>
                <w:highlight w:val="none"/>
              </w:rPr>
              <w:t>★</w:t>
            </w:r>
            <w:r>
              <w:rPr>
                <w:rFonts w:ascii="宋体" w:hAnsi="宋体" w:cs="宋体"/>
                <w:color w:val="auto"/>
                <w:sz w:val="20"/>
                <w:szCs w:val="20"/>
                <w:highlight w:val="none"/>
              </w:rPr>
              <w:t>9.</w:t>
            </w:r>
            <w:r>
              <w:rPr>
                <w:rFonts w:hint="eastAsia" w:ascii="宋体" w:hAnsi="宋体" w:cs="宋体"/>
                <w:color w:val="auto"/>
                <w:sz w:val="20"/>
                <w:szCs w:val="20"/>
                <w:highlight w:val="none"/>
              </w:rPr>
              <w:t>内置高性能主</w:t>
            </w:r>
            <w:r>
              <w:rPr>
                <w:rFonts w:ascii="宋体" w:hAnsi="宋体" w:cs="宋体"/>
                <w:color w:val="auto"/>
                <w:sz w:val="20"/>
                <w:szCs w:val="20"/>
                <w:highlight w:val="none"/>
              </w:rPr>
              <w:t>/</w:t>
            </w:r>
            <w:r>
              <w:rPr>
                <w:rFonts w:hint="eastAsia" w:ascii="宋体" w:hAnsi="宋体" w:cs="宋体"/>
                <w:color w:val="auto"/>
                <w:sz w:val="20"/>
                <w:szCs w:val="20"/>
                <w:highlight w:val="none"/>
              </w:rPr>
              <w:t>备切换检测模块，断网断电以及本机故障时</w:t>
            </w:r>
            <w:r>
              <w:rPr>
                <w:rFonts w:ascii="宋体" w:hAnsi="宋体" w:cs="宋体"/>
                <w:color w:val="auto"/>
                <w:sz w:val="20"/>
                <w:szCs w:val="20"/>
                <w:highlight w:val="none"/>
              </w:rPr>
              <w:t>0.3</w:t>
            </w:r>
            <w:r>
              <w:rPr>
                <w:rFonts w:hint="eastAsia" w:ascii="宋体" w:hAnsi="宋体" w:cs="宋体"/>
                <w:color w:val="auto"/>
                <w:sz w:val="20"/>
                <w:szCs w:val="20"/>
                <w:highlight w:val="none"/>
              </w:rPr>
              <w:t>秒内切换到备份功率输入。</w:t>
            </w:r>
            <w:r>
              <w:rPr>
                <w:rFonts w:hint="eastAsia" w:ascii="宋体" w:hAnsi="宋体" w:cs="宋体"/>
                <w:b/>
                <w:bCs/>
                <w:color w:val="auto"/>
                <w:sz w:val="20"/>
                <w:szCs w:val="20"/>
                <w:highlight w:val="none"/>
              </w:rPr>
              <w:t>（投标时须提供相关证明材料扫描件并加盖投标单位公章）</w:t>
            </w:r>
            <w:r>
              <w:rPr>
                <w:rFonts w:ascii="宋体"/>
                <w:b/>
                <w:bCs/>
                <w:color w:val="auto"/>
                <w:sz w:val="20"/>
                <w:szCs w:val="20"/>
                <w:highlight w:val="none"/>
              </w:rPr>
              <w:br w:type="textWrapping"/>
            </w:r>
            <w:r>
              <w:rPr>
                <w:rFonts w:ascii="宋体" w:hAnsi="宋体" w:cs="宋体"/>
                <w:color w:val="auto"/>
                <w:sz w:val="20"/>
                <w:szCs w:val="20"/>
                <w:highlight w:val="none"/>
              </w:rPr>
              <w:t>10.</w:t>
            </w:r>
            <w:r>
              <w:rPr>
                <w:rFonts w:hint="eastAsia" w:ascii="宋体" w:hAnsi="宋体" w:cs="宋体"/>
                <w:color w:val="auto"/>
                <w:sz w:val="20"/>
                <w:szCs w:val="20"/>
                <w:highlight w:val="none"/>
              </w:rPr>
              <w:t>兼容路由器、交换机、网桥网关、</w:t>
            </w:r>
            <w:r>
              <w:rPr>
                <w:rFonts w:ascii="宋体" w:hAnsi="宋体" w:cs="宋体"/>
                <w:color w:val="auto"/>
                <w:sz w:val="20"/>
                <w:szCs w:val="20"/>
                <w:highlight w:val="none"/>
              </w:rPr>
              <w:t>Modem</w:t>
            </w:r>
            <w:r>
              <w:rPr>
                <w:rFonts w:hint="eastAsia" w:ascii="宋体" w:hAnsi="宋体" w:cs="宋体"/>
                <w:color w:val="auto"/>
                <w:sz w:val="20"/>
                <w:szCs w:val="20"/>
                <w:highlight w:val="none"/>
              </w:rPr>
              <w:t>、</w:t>
            </w:r>
            <w:r>
              <w:rPr>
                <w:rFonts w:ascii="宋体" w:hAnsi="宋体" w:cs="宋体"/>
                <w:color w:val="auto"/>
                <w:sz w:val="20"/>
                <w:szCs w:val="20"/>
                <w:highlight w:val="none"/>
              </w:rPr>
              <w:t>Internet</w:t>
            </w:r>
            <w:r>
              <w:rPr>
                <w:rFonts w:hint="eastAsia" w:ascii="宋体" w:hAnsi="宋体" w:cs="宋体"/>
                <w:color w:val="auto"/>
                <w:sz w:val="20"/>
                <w:szCs w:val="20"/>
                <w:highlight w:val="none"/>
              </w:rPr>
              <w:t>、</w:t>
            </w:r>
            <w:r>
              <w:rPr>
                <w:rFonts w:ascii="宋体" w:hAnsi="宋体" w:cs="宋体"/>
                <w:color w:val="auto"/>
                <w:sz w:val="20"/>
                <w:szCs w:val="20"/>
                <w:highlight w:val="none"/>
              </w:rPr>
              <w:t>2G</w:t>
            </w:r>
            <w:r>
              <w:rPr>
                <w:rFonts w:hint="eastAsia" w:ascii="宋体" w:hAnsi="宋体" w:cs="宋体"/>
                <w:color w:val="auto"/>
                <w:sz w:val="20"/>
                <w:szCs w:val="20"/>
                <w:highlight w:val="none"/>
              </w:rPr>
              <w:t>、</w:t>
            </w:r>
            <w:r>
              <w:rPr>
                <w:rFonts w:ascii="宋体" w:hAnsi="宋体" w:cs="宋体"/>
                <w:color w:val="auto"/>
                <w:sz w:val="20"/>
                <w:szCs w:val="20"/>
                <w:highlight w:val="none"/>
              </w:rPr>
              <w:t>3G</w:t>
            </w:r>
            <w:r>
              <w:rPr>
                <w:rFonts w:hint="eastAsia" w:ascii="宋体" w:hAnsi="宋体" w:cs="宋体"/>
                <w:color w:val="auto"/>
                <w:sz w:val="20"/>
                <w:szCs w:val="20"/>
                <w:highlight w:val="none"/>
              </w:rPr>
              <w:t>、</w:t>
            </w:r>
            <w:r>
              <w:rPr>
                <w:rFonts w:ascii="宋体" w:hAnsi="宋体" w:cs="宋体"/>
                <w:color w:val="auto"/>
                <w:sz w:val="20"/>
                <w:szCs w:val="20"/>
                <w:highlight w:val="none"/>
              </w:rPr>
              <w:t>4G</w:t>
            </w:r>
            <w:r>
              <w:rPr>
                <w:rFonts w:hint="eastAsia" w:ascii="宋体" w:hAnsi="宋体" w:cs="宋体"/>
                <w:color w:val="auto"/>
                <w:sz w:val="20"/>
                <w:szCs w:val="20"/>
                <w:highlight w:val="none"/>
              </w:rPr>
              <w:t>等任意网络结构。</w:t>
            </w:r>
            <w:r>
              <w:rPr>
                <w:rFonts w:ascii="宋体"/>
                <w:color w:val="auto"/>
                <w:sz w:val="20"/>
                <w:szCs w:val="20"/>
                <w:highlight w:val="none"/>
              </w:rPr>
              <w:br w:type="textWrapping"/>
            </w:r>
            <w:r>
              <w:rPr>
                <w:rFonts w:ascii="宋体" w:hAnsi="宋体" w:cs="宋体"/>
                <w:color w:val="auto"/>
                <w:sz w:val="20"/>
                <w:szCs w:val="20"/>
                <w:highlight w:val="none"/>
              </w:rPr>
              <w:t>11.EMC</w:t>
            </w:r>
            <w:r>
              <w:rPr>
                <w:rFonts w:hint="eastAsia" w:ascii="宋体" w:hAnsi="宋体" w:cs="宋体"/>
                <w:color w:val="auto"/>
                <w:sz w:val="20"/>
                <w:szCs w:val="20"/>
                <w:highlight w:val="none"/>
              </w:rPr>
              <w:t>输入灵敏度：不低于</w:t>
            </w:r>
            <w:r>
              <w:rPr>
                <w:rFonts w:ascii="宋体" w:hAnsi="宋体" w:cs="宋体"/>
                <w:color w:val="auto"/>
                <w:sz w:val="20"/>
                <w:szCs w:val="20"/>
                <w:highlight w:val="none"/>
              </w:rPr>
              <w:t>775mV  (</w:t>
            </w:r>
            <w:r>
              <w:rPr>
                <w:rFonts w:hint="eastAsia" w:ascii="宋体" w:hAnsi="宋体" w:cs="宋体"/>
                <w:color w:val="auto"/>
                <w:sz w:val="20"/>
                <w:szCs w:val="20"/>
                <w:highlight w:val="none"/>
              </w:rPr>
              <w:t>非平衡）</w:t>
            </w:r>
            <w:r>
              <w:rPr>
                <w:rFonts w:ascii="宋体"/>
                <w:color w:val="auto"/>
                <w:sz w:val="20"/>
                <w:szCs w:val="20"/>
                <w:highlight w:val="none"/>
              </w:rPr>
              <w:br w:type="textWrapping"/>
            </w:r>
            <w:r>
              <w:rPr>
                <w:rFonts w:ascii="宋体" w:hAnsi="宋体" w:cs="宋体"/>
                <w:color w:val="auto"/>
                <w:sz w:val="20"/>
                <w:szCs w:val="20"/>
                <w:highlight w:val="none"/>
              </w:rPr>
              <w:t>12.AUX</w:t>
            </w:r>
            <w:r>
              <w:rPr>
                <w:rFonts w:hint="eastAsia" w:ascii="宋体" w:hAnsi="宋体" w:cs="宋体"/>
                <w:color w:val="auto"/>
                <w:sz w:val="20"/>
                <w:szCs w:val="20"/>
                <w:highlight w:val="none"/>
              </w:rPr>
              <w:t>输入灵敏度：不低于</w:t>
            </w:r>
            <w:r>
              <w:rPr>
                <w:rFonts w:ascii="宋体" w:hAnsi="宋体" w:cs="宋体"/>
                <w:color w:val="auto"/>
                <w:sz w:val="20"/>
                <w:szCs w:val="20"/>
                <w:highlight w:val="none"/>
              </w:rPr>
              <w:t>350mV  (</w:t>
            </w:r>
            <w:r>
              <w:rPr>
                <w:rFonts w:hint="eastAsia" w:ascii="宋体" w:hAnsi="宋体" w:cs="宋体"/>
                <w:color w:val="auto"/>
                <w:sz w:val="20"/>
                <w:szCs w:val="20"/>
                <w:highlight w:val="none"/>
              </w:rPr>
              <w:t>非平衡）</w:t>
            </w:r>
            <w:r>
              <w:rPr>
                <w:rFonts w:ascii="宋体"/>
                <w:color w:val="auto"/>
                <w:sz w:val="20"/>
                <w:szCs w:val="20"/>
                <w:highlight w:val="none"/>
              </w:rPr>
              <w:br w:type="textWrapping"/>
            </w:r>
            <w:r>
              <w:rPr>
                <w:rFonts w:ascii="宋体" w:hAnsi="宋体" w:cs="宋体"/>
                <w:color w:val="auto"/>
                <w:sz w:val="20"/>
                <w:szCs w:val="20"/>
                <w:highlight w:val="none"/>
              </w:rPr>
              <w:t>13.MIC</w:t>
            </w:r>
            <w:r>
              <w:rPr>
                <w:rFonts w:hint="eastAsia" w:ascii="宋体" w:hAnsi="宋体" w:cs="宋体"/>
                <w:color w:val="auto"/>
                <w:sz w:val="20"/>
                <w:szCs w:val="20"/>
                <w:highlight w:val="none"/>
              </w:rPr>
              <w:t>输入灵敏度：不低于</w:t>
            </w:r>
            <w:r>
              <w:rPr>
                <w:rFonts w:ascii="宋体" w:hAnsi="宋体" w:cs="宋体"/>
                <w:color w:val="auto"/>
                <w:sz w:val="20"/>
                <w:szCs w:val="20"/>
                <w:highlight w:val="none"/>
              </w:rPr>
              <w:t>5mV   (</w:t>
            </w:r>
            <w:r>
              <w:rPr>
                <w:rFonts w:hint="eastAsia" w:ascii="宋体" w:hAnsi="宋体" w:cs="宋体"/>
                <w:color w:val="auto"/>
                <w:sz w:val="20"/>
                <w:szCs w:val="20"/>
                <w:highlight w:val="none"/>
              </w:rPr>
              <w:t>非平衡）</w:t>
            </w:r>
            <w:r>
              <w:rPr>
                <w:rFonts w:ascii="宋体"/>
                <w:color w:val="auto"/>
                <w:sz w:val="20"/>
                <w:szCs w:val="20"/>
                <w:highlight w:val="none"/>
              </w:rPr>
              <w:br w:type="textWrapping"/>
            </w:r>
            <w:r>
              <w:rPr>
                <w:rFonts w:ascii="宋体" w:hAnsi="宋体" w:cs="宋体"/>
                <w:color w:val="auto"/>
                <w:sz w:val="20"/>
                <w:szCs w:val="20"/>
                <w:highlight w:val="none"/>
              </w:rPr>
              <w:t>14.</w:t>
            </w:r>
            <w:r>
              <w:rPr>
                <w:rFonts w:hint="eastAsia" w:ascii="宋体" w:hAnsi="宋体" w:cs="宋体"/>
                <w:color w:val="auto"/>
                <w:sz w:val="20"/>
                <w:szCs w:val="20"/>
                <w:highlight w:val="none"/>
              </w:rPr>
              <w:t>高、低音提升、衰减：±</w:t>
            </w:r>
            <w:r>
              <w:rPr>
                <w:rFonts w:ascii="宋体" w:hAnsi="宋体" w:cs="宋体"/>
                <w:color w:val="auto"/>
                <w:sz w:val="20"/>
                <w:szCs w:val="20"/>
                <w:highlight w:val="none"/>
              </w:rPr>
              <w:t>10dB</w:t>
            </w:r>
            <w:r>
              <w:rPr>
                <w:rFonts w:ascii="宋体" w:hAnsi="宋体" w:cs="宋体"/>
                <w:color w:val="auto"/>
                <w:sz w:val="20"/>
                <w:szCs w:val="20"/>
                <w:highlight w:val="none"/>
              </w:rPr>
              <w:br w:type="textWrapping"/>
            </w:r>
            <w:r>
              <w:rPr>
                <w:rFonts w:ascii="宋体" w:hAnsi="宋体" w:cs="宋体"/>
                <w:color w:val="auto"/>
                <w:sz w:val="20"/>
                <w:szCs w:val="20"/>
                <w:highlight w:val="none"/>
              </w:rPr>
              <w:t>15.</w:t>
            </w:r>
            <w:r>
              <w:rPr>
                <w:rFonts w:hint="eastAsia" w:ascii="宋体" w:hAnsi="宋体" w:cs="宋体"/>
                <w:color w:val="auto"/>
                <w:sz w:val="20"/>
                <w:szCs w:val="20"/>
                <w:highlight w:val="none"/>
              </w:rPr>
              <w:t>网络接口：标准</w:t>
            </w:r>
            <w:r>
              <w:rPr>
                <w:rFonts w:ascii="宋体" w:hAnsi="宋体" w:cs="宋体"/>
                <w:color w:val="auto"/>
                <w:sz w:val="20"/>
                <w:szCs w:val="20"/>
                <w:highlight w:val="none"/>
              </w:rPr>
              <w:t>RJ45</w:t>
            </w:r>
            <w:r>
              <w:rPr>
                <w:rFonts w:hint="eastAsia" w:ascii="宋体" w:hAnsi="宋体" w:cs="宋体"/>
                <w:color w:val="auto"/>
                <w:sz w:val="20"/>
                <w:szCs w:val="20"/>
                <w:highlight w:val="none"/>
              </w:rPr>
              <w:t>输入。支持协议：</w:t>
            </w:r>
            <w:r>
              <w:rPr>
                <w:rFonts w:ascii="宋体" w:hAnsi="宋体" w:cs="宋体"/>
                <w:color w:val="auto"/>
                <w:sz w:val="20"/>
                <w:szCs w:val="20"/>
                <w:highlight w:val="none"/>
              </w:rPr>
              <w:t>TCP/IP</w:t>
            </w:r>
            <w:r>
              <w:rPr>
                <w:rFonts w:hint="eastAsia" w:ascii="宋体" w:hAnsi="宋体" w:cs="宋体"/>
                <w:color w:val="auto"/>
                <w:sz w:val="20"/>
                <w:szCs w:val="20"/>
                <w:highlight w:val="none"/>
              </w:rPr>
              <w:t>，</w:t>
            </w:r>
            <w:r>
              <w:rPr>
                <w:rFonts w:ascii="宋体" w:hAnsi="宋体" w:cs="宋体"/>
                <w:color w:val="auto"/>
                <w:sz w:val="20"/>
                <w:szCs w:val="20"/>
                <w:highlight w:val="none"/>
              </w:rPr>
              <w:t>UDP</w:t>
            </w:r>
            <w:r>
              <w:rPr>
                <w:rFonts w:ascii="宋体" w:hAnsi="宋体" w:cs="宋体"/>
                <w:color w:val="auto"/>
                <w:sz w:val="20"/>
                <w:szCs w:val="20"/>
                <w:highlight w:val="none"/>
              </w:rPr>
              <w:br w:type="textWrapping"/>
            </w:r>
            <w:r>
              <w:rPr>
                <w:rFonts w:ascii="宋体" w:hAnsi="宋体" w:cs="宋体"/>
                <w:color w:val="auto"/>
                <w:sz w:val="20"/>
                <w:szCs w:val="20"/>
                <w:highlight w:val="none"/>
              </w:rPr>
              <w:t>16.</w:t>
            </w:r>
            <w:r>
              <w:rPr>
                <w:rFonts w:hint="eastAsia" w:ascii="宋体" w:hAnsi="宋体" w:cs="宋体"/>
                <w:color w:val="auto"/>
                <w:sz w:val="20"/>
                <w:szCs w:val="20"/>
                <w:highlight w:val="none"/>
              </w:rPr>
              <w:t>采样率为</w:t>
            </w:r>
            <w:r>
              <w:rPr>
                <w:rFonts w:ascii="宋体" w:hAnsi="宋体" w:cs="宋体"/>
                <w:color w:val="auto"/>
                <w:sz w:val="20"/>
                <w:szCs w:val="20"/>
                <w:highlight w:val="none"/>
              </w:rPr>
              <w:t>8KHz</w:t>
            </w:r>
            <w:r>
              <w:rPr>
                <w:rFonts w:hint="eastAsia" w:ascii="宋体" w:hAnsi="宋体" w:cs="宋体"/>
                <w:color w:val="auto"/>
                <w:sz w:val="20"/>
                <w:szCs w:val="20"/>
                <w:highlight w:val="none"/>
              </w:rPr>
              <w:t>～</w:t>
            </w:r>
            <w:r>
              <w:rPr>
                <w:rFonts w:ascii="宋体" w:hAnsi="宋体" w:cs="宋体"/>
                <w:color w:val="auto"/>
                <w:sz w:val="20"/>
                <w:szCs w:val="20"/>
                <w:highlight w:val="none"/>
              </w:rPr>
              <w:t>48KHz</w:t>
            </w:r>
            <w:r>
              <w:rPr>
                <w:rFonts w:hint="eastAsia" w:ascii="宋体" w:hAnsi="宋体" w:cs="宋体"/>
                <w:color w:val="auto"/>
                <w:sz w:val="20"/>
                <w:szCs w:val="20"/>
                <w:highlight w:val="none"/>
              </w:rPr>
              <w:t>时传输速率：不低于</w:t>
            </w:r>
            <w:r>
              <w:rPr>
                <w:rFonts w:ascii="宋体" w:hAnsi="宋体" w:cs="宋体"/>
                <w:color w:val="auto"/>
                <w:sz w:val="20"/>
                <w:szCs w:val="20"/>
                <w:highlight w:val="none"/>
              </w:rPr>
              <w:t>100Mbps</w:t>
            </w:r>
            <w:r>
              <w:rPr>
                <w:rFonts w:hint="eastAsia" w:ascii="宋体" w:hAnsi="宋体" w:cs="宋体"/>
                <w:color w:val="auto"/>
                <w:sz w:val="20"/>
                <w:szCs w:val="20"/>
                <w:highlight w:val="none"/>
              </w:rPr>
              <w:t>。</w:t>
            </w:r>
            <w:r>
              <w:rPr>
                <w:rFonts w:ascii="宋体"/>
                <w:color w:val="auto"/>
                <w:sz w:val="20"/>
                <w:szCs w:val="20"/>
                <w:highlight w:val="none"/>
              </w:rPr>
              <w:br w:type="textWrapping"/>
            </w:r>
            <w:r>
              <w:rPr>
                <w:rFonts w:ascii="宋体" w:hAnsi="宋体" w:cs="宋体"/>
                <w:color w:val="auto"/>
                <w:sz w:val="20"/>
                <w:szCs w:val="20"/>
                <w:highlight w:val="none"/>
              </w:rPr>
              <w:t>17.</w:t>
            </w:r>
            <w:r>
              <w:rPr>
                <w:rFonts w:hint="eastAsia" w:ascii="宋体" w:hAnsi="宋体" w:cs="宋体"/>
                <w:color w:val="auto"/>
                <w:sz w:val="20"/>
                <w:szCs w:val="20"/>
                <w:highlight w:val="none"/>
              </w:rPr>
              <w:t>额定功率：不低于</w:t>
            </w:r>
            <w:r>
              <w:rPr>
                <w:rFonts w:ascii="宋体" w:hAnsi="宋体" w:cs="宋体"/>
                <w:color w:val="auto"/>
                <w:sz w:val="20"/>
                <w:szCs w:val="20"/>
                <w:highlight w:val="none"/>
              </w:rPr>
              <w:t>650W</w:t>
            </w:r>
            <w:r>
              <w:rPr>
                <w:rFonts w:ascii="宋体" w:hAnsi="宋体" w:cs="宋体"/>
                <w:color w:val="auto"/>
                <w:sz w:val="20"/>
                <w:szCs w:val="20"/>
                <w:highlight w:val="none"/>
              </w:rPr>
              <w:br w:type="textWrapping"/>
            </w:r>
            <w:r>
              <w:rPr>
                <w:rFonts w:ascii="宋体" w:hAnsi="宋体" w:cs="宋体"/>
                <w:color w:val="auto"/>
                <w:sz w:val="20"/>
                <w:szCs w:val="20"/>
                <w:highlight w:val="none"/>
              </w:rPr>
              <w:t>18.</w:t>
            </w:r>
            <w:r>
              <w:rPr>
                <w:rFonts w:hint="eastAsia" w:ascii="宋体" w:hAnsi="宋体" w:cs="宋体"/>
                <w:color w:val="auto"/>
                <w:sz w:val="20"/>
                <w:szCs w:val="20"/>
                <w:highlight w:val="none"/>
              </w:rPr>
              <w:t>频率响应：</w:t>
            </w:r>
            <w:r>
              <w:rPr>
                <w:rFonts w:ascii="宋体" w:hAnsi="宋体" w:cs="宋体"/>
                <w:color w:val="auto"/>
                <w:sz w:val="20"/>
                <w:szCs w:val="20"/>
                <w:highlight w:val="none"/>
              </w:rPr>
              <w:t>80Hz</w:t>
            </w:r>
            <w:r>
              <w:rPr>
                <w:rFonts w:hint="eastAsia" w:ascii="宋体" w:hAnsi="宋体" w:cs="宋体"/>
                <w:color w:val="auto"/>
                <w:sz w:val="20"/>
                <w:szCs w:val="20"/>
                <w:highlight w:val="none"/>
              </w:rPr>
              <w:t>～</w:t>
            </w:r>
            <w:r>
              <w:rPr>
                <w:rFonts w:ascii="宋体" w:hAnsi="宋体" w:cs="宋体"/>
                <w:color w:val="auto"/>
                <w:sz w:val="20"/>
                <w:szCs w:val="20"/>
                <w:highlight w:val="none"/>
              </w:rPr>
              <w:t>16KHz   +1/-3dB</w:t>
            </w:r>
            <w:r>
              <w:rPr>
                <w:rFonts w:hint="eastAsia" w:ascii="宋体" w:hAnsi="宋体" w:cs="宋体"/>
                <w:color w:val="auto"/>
                <w:sz w:val="20"/>
                <w:szCs w:val="20"/>
                <w:highlight w:val="none"/>
              </w:rPr>
              <w:t>；谐波失真：≤</w:t>
            </w:r>
            <w:r>
              <w:rPr>
                <w:rFonts w:ascii="宋体" w:hAnsi="宋体" w:cs="宋体"/>
                <w:color w:val="auto"/>
                <w:sz w:val="20"/>
                <w:szCs w:val="20"/>
                <w:highlight w:val="none"/>
              </w:rPr>
              <w:t>1%</w:t>
            </w:r>
            <w:r>
              <w:rPr>
                <w:rFonts w:hint="eastAsia" w:ascii="宋体" w:hAnsi="宋体" w:cs="宋体"/>
                <w:color w:val="auto"/>
                <w:sz w:val="20"/>
                <w:szCs w:val="20"/>
                <w:highlight w:val="none"/>
              </w:rPr>
              <w:t>；信噪比：＞</w:t>
            </w:r>
            <w:r>
              <w:rPr>
                <w:rFonts w:ascii="宋体" w:hAnsi="宋体" w:cs="宋体"/>
                <w:color w:val="auto"/>
                <w:sz w:val="20"/>
                <w:szCs w:val="20"/>
                <w:highlight w:val="none"/>
              </w:rPr>
              <w:t>65dB</w:t>
            </w:r>
            <w:r>
              <w:rPr>
                <w:rFonts w:hint="eastAsia" w:ascii="宋体" w:hAnsi="宋体" w:cs="宋体"/>
                <w:color w:val="auto"/>
                <w:sz w:val="20"/>
                <w:szCs w:val="20"/>
                <w:highlight w:val="none"/>
              </w:rPr>
              <w:t>。</w:t>
            </w:r>
            <w:r>
              <w:rPr>
                <w:rFonts w:ascii="宋体"/>
                <w:color w:val="auto"/>
                <w:sz w:val="20"/>
                <w:szCs w:val="20"/>
                <w:highlight w:val="none"/>
              </w:rPr>
              <w:br w:type="textWrapping"/>
            </w:r>
            <w:r>
              <w:rPr>
                <w:rFonts w:ascii="宋体" w:hAnsi="宋体" w:cs="宋体"/>
                <w:color w:val="auto"/>
                <w:sz w:val="20"/>
                <w:szCs w:val="20"/>
                <w:highlight w:val="none"/>
              </w:rPr>
              <w:t>19.</w:t>
            </w:r>
            <w:r>
              <w:rPr>
                <w:rFonts w:hint="eastAsia" w:ascii="宋体" w:hAnsi="宋体" w:cs="宋体"/>
                <w:color w:val="auto"/>
                <w:sz w:val="20"/>
                <w:szCs w:val="20"/>
                <w:highlight w:val="none"/>
              </w:rPr>
              <w:t>输出方式：</w:t>
            </w:r>
            <w:r>
              <w:rPr>
                <w:rFonts w:ascii="宋体" w:hAnsi="宋体" w:cs="宋体"/>
                <w:color w:val="auto"/>
                <w:sz w:val="20"/>
                <w:szCs w:val="20"/>
                <w:highlight w:val="none"/>
              </w:rPr>
              <w:t>100V</w:t>
            </w:r>
            <w:r>
              <w:rPr>
                <w:rFonts w:hint="eastAsia" w:ascii="宋体" w:hAnsi="宋体" w:cs="宋体"/>
                <w:color w:val="auto"/>
                <w:sz w:val="20"/>
                <w:szCs w:val="20"/>
                <w:highlight w:val="none"/>
              </w:rPr>
              <w:t>定压输出</w:t>
            </w:r>
            <w:r>
              <w:rPr>
                <w:rFonts w:ascii="宋体"/>
                <w:color w:val="auto"/>
                <w:sz w:val="20"/>
                <w:szCs w:val="20"/>
                <w:highlight w:val="none"/>
              </w:rPr>
              <w:br w:type="textWrapping"/>
            </w:r>
            <w:r>
              <w:rPr>
                <w:rFonts w:ascii="宋体" w:hAnsi="宋体" w:cs="宋体"/>
                <w:color w:val="auto"/>
                <w:sz w:val="20"/>
                <w:szCs w:val="20"/>
                <w:highlight w:val="none"/>
              </w:rPr>
              <w:t>20.</w:t>
            </w:r>
            <w:r>
              <w:rPr>
                <w:rFonts w:hint="eastAsia" w:ascii="宋体" w:hAnsi="宋体" w:cs="宋体"/>
                <w:color w:val="auto"/>
                <w:sz w:val="20"/>
                <w:szCs w:val="20"/>
                <w:highlight w:val="none"/>
              </w:rPr>
              <w:t>设备具有直流输出、过载、过温、短路等保护功能。</w:t>
            </w:r>
            <w:r>
              <w:rPr>
                <w:rFonts w:ascii="宋体"/>
                <w:color w:val="auto"/>
                <w:sz w:val="20"/>
                <w:szCs w:val="20"/>
                <w:highlight w:val="none"/>
              </w:rPr>
              <w:br w:type="textWrapping"/>
            </w:r>
            <w:r>
              <w:rPr>
                <w:rFonts w:ascii="宋体" w:hAnsi="宋体" w:cs="宋体"/>
                <w:color w:val="auto"/>
                <w:sz w:val="20"/>
                <w:szCs w:val="20"/>
                <w:highlight w:val="none"/>
              </w:rPr>
              <w:t>21.USB</w:t>
            </w:r>
            <w:r>
              <w:rPr>
                <w:rFonts w:hint="eastAsia" w:ascii="宋体" w:hAnsi="宋体" w:cs="宋体"/>
                <w:color w:val="auto"/>
                <w:sz w:val="20"/>
                <w:szCs w:val="20"/>
                <w:highlight w:val="none"/>
              </w:rPr>
              <w:t>接口：最大支持</w:t>
            </w:r>
            <w:r>
              <w:rPr>
                <w:rFonts w:ascii="宋体" w:hAnsi="宋体" w:cs="宋体"/>
                <w:color w:val="auto"/>
                <w:sz w:val="20"/>
                <w:szCs w:val="20"/>
                <w:highlight w:val="none"/>
              </w:rPr>
              <w:t>16G</w:t>
            </w:r>
            <w:r>
              <w:rPr>
                <w:rFonts w:hint="eastAsia" w:ascii="宋体" w:hAnsi="宋体" w:cs="宋体"/>
                <w:color w:val="auto"/>
                <w:sz w:val="20"/>
                <w:szCs w:val="20"/>
                <w:highlight w:val="none"/>
              </w:rPr>
              <w:t>内存</w:t>
            </w:r>
            <w:r>
              <w:rPr>
                <w:rFonts w:ascii="宋体" w:hAnsi="宋体" w:cs="宋体"/>
                <w:color w:val="auto"/>
                <w:sz w:val="20"/>
                <w:szCs w:val="20"/>
                <w:highlight w:val="none"/>
              </w:rPr>
              <w:t>U</w:t>
            </w:r>
            <w:r>
              <w:rPr>
                <w:rFonts w:hint="eastAsia" w:ascii="宋体" w:hAnsi="宋体" w:cs="宋体"/>
                <w:color w:val="auto"/>
                <w:sz w:val="20"/>
                <w:szCs w:val="20"/>
                <w:highlight w:val="none"/>
              </w:rPr>
              <w:t>盘接入。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37</w:t>
            </w:r>
          </w:p>
        </w:tc>
      </w:tr>
      <w:tr>
        <w:tblPrEx>
          <w:tblCellMar>
            <w:top w:w="0" w:type="dxa"/>
            <w:left w:w="108" w:type="dxa"/>
            <w:bottom w:w="0" w:type="dxa"/>
            <w:right w:w="108" w:type="dxa"/>
          </w:tblCellMar>
        </w:tblPrEx>
        <w:trPr>
          <w:trHeight w:val="21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12</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w:t>
            </w:r>
            <w:r>
              <w:rPr>
                <w:rFonts w:ascii="宋体" w:hAnsi="宋体" w:cs="宋体"/>
                <w:color w:val="auto"/>
                <w:sz w:val="20"/>
                <w:szCs w:val="20"/>
              </w:rPr>
              <w:t>IP</w:t>
            </w:r>
            <w:r>
              <w:rPr>
                <w:rFonts w:hint="eastAsia" w:ascii="宋体" w:hAnsi="宋体" w:cs="宋体"/>
                <w:color w:val="auto"/>
                <w:sz w:val="20"/>
                <w:szCs w:val="20"/>
              </w:rPr>
              <w:t>网络平台终端嵌入软件</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软件内嵌于数字</w:t>
            </w:r>
            <w:r>
              <w:rPr>
                <w:rFonts w:ascii="宋体" w:hAnsi="宋体" w:cs="宋体"/>
                <w:color w:val="auto"/>
                <w:sz w:val="20"/>
                <w:szCs w:val="20"/>
              </w:rPr>
              <w:t>IP</w:t>
            </w:r>
            <w:r>
              <w:rPr>
                <w:rFonts w:hint="eastAsia" w:ascii="宋体" w:hAnsi="宋体" w:cs="宋体"/>
                <w:color w:val="auto"/>
                <w:sz w:val="20"/>
                <w:szCs w:val="20"/>
              </w:rPr>
              <w:t>网络平台终端设备，支撑设备各项基本功能的运行。</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嵌入</w:t>
            </w:r>
            <w:r>
              <w:rPr>
                <w:rFonts w:ascii="宋体" w:hAnsi="宋体" w:cs="宋体"/>
                <w:color w:val="auto"/>
                <w:sz w:val="20"/>
                <w:szCs w:val="20"/>
              </w:rPr>
              <w:t>DSP</w:t>
            </w:r>
            <w:r>
              <w:rPr>
                <w:rFonts w:hint="eastAsia" w:ascii="宋体" w:hAnsi="宋体" w:cs="宋体"/>
                <w:color w:val="auto"/>
                <w:sz w:val="20"/>
                <w:szCs w:val="20"/>
              </w:rPr>
              <w:t>音频处理技术，高保真解码音频文件；支持远程点播功能，支持节目播放。</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支持新配置注册智能语音提示功能。</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支持播放背景音乐功能，支持单独调节音量。</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支持播放本地服务器的</w:t>
            </w:r>
            <w:r>
              <w:rPr>
                <w:rFonts w:ascii="宋体" w:hAnsi="宋体" w:cs="宋体"/>
                <w:color w:val="auto"/>
                <w:sz w:val="20"/>
                <w:szCs w:val="20"/>
              </w:rPr>
              <w:t>MP3</w:t>
            </w:r>
            <w:r>
              <w:rPr>
                <w:rFonts w:hint="eastAsia" w:ascii="宋体" w:hAnsi="宋体" w:cs="宋体"/>
                <w:color w:val="auto"/>
                <w:sz w:val="20"/>
                <w:szCs w:val="20"/>
              </w:rPr>
              <w:t>文件；支持单独播放或分区</w:t>
            </w:r>
            <w:r>
              <w:rPr>
                <w:rFonts w:ascii="宋体" w:hAnsi="宋体" w:cs="宋体"/>
                <w:color w:val="auto"/>
                <w:sz w:val="20"/>
                <w:szCs w:val="20"/>
              </w:rPr>
              <w:t>/</w:t>
            </w:r>
            <w:r>
              <w:rPr>
                <w:rFonts w:hint="eastAsia" w:ascii="宋体" w:hAnsi="宋体" w:cs="宋体"/>
                <w:color w:val="auto"/>
                <w:sz w:val="20"/>
                <w:szCs w:val="20"/>
              </w:rPr>
              <w:t>全区播放。</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37</w:t>
            </w:r>
          </w:p>
        </w:tc>
      </w:tr>
      <w:tr>
        <w:tblPrEx>
          <w:tblCellMar>
            <w:top w:w="0" w:type="dxa"/>
            <w:left w:w="108" w:type="dxa"/>
            <w:bottom w:w="0" w:type="dxa"/>
            <w:right w:w="108" w:type="dxa"/>
          </w:tblCellMar>
        </w:tblPrEx>
        <w:trPr>
          <w:trHeight w:val="552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13</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网络音箱</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highlight w:val="none"/>
              </w:rPr>
            </w:pPr>
            <w:r>
              <w:rPr>
                <w:rFonts w:ascii="宋体" w:hAnsi="宋体" w:cs="宋体"/>
                <w:color w:val="auto"/>
                <w:sz w:val="20"/>
                <w:szCs w:val="20"/>
                <w:highlight w:val="none"/>
              </w:rPr>
              <w:t>1.</w:t>
            </w:r>
            <w:r>
              <w:rPr>
                <w:rFonts w:hint="eastAsia" w:ascii="宋体" w:hAnsi="宋体" w:cs="宋体"/>
                <w:color w:val="auto"/>
                <w:sz w:val="20"/>
                <w:szCs w:val="20"/>
                <w:highlight w:val="none"/>
              </w:rPr>
              <w:t>终端设备采用壁挂式设计，自带≥</w:t>
            </w:r>
            <w:r>
              <w:rPr>
                <w:rFonts w:ascii="宋体" w:hAnsi="宋体" w:cs="宋体"/>
                <w:color w:val="auto"/>
                <w:sz w:val="20"/>
                <w:szCs w:val="20"/>
                <w:highlight w:val="none"/>
              </w:rPr>
              <w:t>2</w:t>
            </w:r>
            <w:r>
              <w:rPr>
                <w:rFonts w:hint="eastAsia" w:ascii="宋体" w:hAnsi="宋体" w:cs="宋体"/>
                <w:color w:val="auto"/>
                <w:sz w:val="20"/>
                <w:szCs w:val="20"/>
                <w:highlight w:val="none"/>
              </w:rPr>
              <w:t>×</w:t>
            </w:r>
            <w:r>
              <w:rPr>
                <w:rFonts w:ascii="宋体" w:hAnsi="宋体" w:cs="宋体"/>
                <w:color w:val="auto"/>
                <w:sz w:val="20"/>
                <w:szCs w:val="20"/>
                <w:highlight w:val="none"/>
              </w:rPr>
              <w:t>60W</w:t>
            </w:r>
            <w:r>
              <w:rPr>
                <w:rFonts w:hint="eastAsia" w:ascii="宋体" w:hAnsi="宋体" w:cs="宋体"/>
                <w:color w:val="auto"/>
                <w:sz w:val="20"/>
                <w:szCs w:val="20"/>
                <w:highlight w:val="none"/>
              </w:rPr>
              <w:t>功率放大器模块。（主</w:t>
            </w:r>
            <w:r>
              <w:rPr>
                <w:rFonts w:ascii="宋体" w:hAnsi="宋体" w:cs="宋体"/>
                <w:color w:val="auto"/>
                <w:sz w:val="20"/>
                <w:szCs w:val="20"/>
                <w:highlight w:val="none"/>
              </w:rPr>
              <w:t>/</w:t>
            </w:r>
            <w:r>
              <w:rPr>
                <w:rFonts w:hint="eastAsia" w:ascii="宋体" w:hAnsi="宋体" w:cs="宋体"/>
                <w:color w:val="auto"/>
                <w:sz w:val="20"/>
                <w:szCs w:val="20"/>
                <w:highlight w:val="none"/>
              </w:rPr>
              <w:t>备各一只）</w:t>
            </w:r>
            <w:r>
              <w:rPr>
                <w:rFonts w:ascii="宋体"/>
                <w:color w:val="auto"/>
                <w:sz w:val="20"/>
                <w:szCs w:val="20"/>
                <w:highlight w:val="none"/>
              </w:rPr>
              <w:br w:type="textWrapping"/>
            </w:r>
            <w:r>
              <w:rPr>
                <w:rFonts w:ascii="宋体" w:hAnsi="宋体" w:cs="宋体"/>
                <w:color w:val="auto"/>
                <w:sz w:val="20"/>
                <w:szCs w:val="20"/>
                <w:highlight w:val="none"/>
              </w:rPr>
              <w:t>2.</w:t>
            </w:r>
            <w:r>
              <w:rPr>
                <w:rFonts w:hint="eastAsia" w:ascii="宋体" w:hAnsi="宋体" w:cs="宋体"/>
                <w:color w:val="auto"/>
                <w:sz w:val="20"/>
                <w:szCs w:val="20"/>
                <w:highlight w:val="none"/>
              </w:rPr>
              <w:t>支持离线自动播放功能。</w:t>
            </w:r>
            <w:r>
              <w:rPr>
                <w:rFonts w:ascii="宋体"/>
                <w:color w:val="auto"/>
                <w:sz w:val="20"/>
                <w:szCs w:val="20"/>
                <w:highlight w:val="none"/>
              </w:rPr>
              <w:br w:type="textWrapping"/>
            </w:r>
            <w:r>
              <w:rPr>
                <w:rFonts w:ascii="宋体" w:hAnsi="宋体" w:cs="宋体"/>
                <w:color w:val="auto"/>
                <w:sz w:val="20"/>
                <w:szCs w:val="20"/>
                <w:highlight w:val="none"/>
              </w:rPr>
              <w:t>3.</w:t>
            </w:r>
            <w:r>
              <w:rPr>
                <w:rFonts w:hint="eastAsia" w:ascii="宋体" w:hAnsi="宋体" w:cs="宋体"/>
                <w:color w:val="auto"/>
                <w:sz w:val="20"/>
                <w:szCs w:val="20"/>
                <w:highlight w:val="none"/>
              </w:rPr>
              <w:t>具备≥</w:t>
            </w:r>
            <w:r>
              <w:rPr>
                <w:rFonts w:ascii="宋体" w:hAnsi="宋体" w:cs="宋体"/>
                <w:color w:val="auto"/>
                <w:sz w:val="20"/>
                <w:szCs w:val="20"/>
                <w:highlight w:val="none"/>
              </w:rPr>
              <w:t>1</w:t>
            </w:r>
            <w:r>
              <w:rPr>
                <w:rFonts w:hint="eastAsia" w:ascii="宋体" w:hAnsi="宋体" w:cs="宋体"/>
                <w:color w:val="auto"/>
                <w:sz w:val="20"/>
                <w:szCs w:val="20"/>
                <w:highlight w:val="none"/>
              </w:rPr>
              <w:t>路</w:t>
            </w:r>
            <w:r>
              <w:rPr>
                <w:rFonts w:ascii="宋体" w:hAnsi="宋体" w:cs="宋体"/>
                <w:color w:val="auto"/>
                <w:sz w:val="20"/>
                <w:szCs w:val="20"/>
                <w:highlight w:val="none"/>
              </w:rPr>
              <w:t>AUX</w:t>
            </w:r>
            <w:r>
              <w:rPr>
                <w:rFonts w:hint="eastAsia" w:ascii="宋体" w:hAnsi="宋体" w:cs="宋体"/>
                <w:color w:val="auto"/>
                <w:sz w:val="20"/>
                <w:szCs w:val="20"/>
                <w:highlight w:val="none"/>
              </w:rPr>
              <w:t>音频输入接口、≥</w:t>
            </w:r>
            <w:r>
              <w:rPr>
                <w:rFonts w:ascii="宋体" w:hAnsi="宋体" w:cs="宋体"/>
                <w:color w:val="auto"/>
                <w:sz w:val="20"/>
                <w:szCs w:val="20"/>
                <w:highlight w:val="none"/>
              </w:rPr>
              <w:t>1</w:t>
            </w:r>
            <w:r>
              <w:rPr>
                <w:rFonts w:hint="eastAsia" w:ascii="宋体" w:hAnsi="宋体" w:cs="宋体"/>
                <w:color w:val="auto"/>
                <w:sz w:val="20"/>
                <w:szCs w:val="20"/>
                <w:highlight w:val="none"/>
              </w:rPr>
              <w:t>组</w:t>
            </w:r>
            <w:r>
              <w:rPr>
                <w:rFonts w:ascii="宋体" w:hAnsi="宋体" w:cs="宋体"/>
                <w:color w:val="auto"/>
                <w:sz w:val="20"/>
                <w:szCs w:val="20"/>
                <w:highlight w:val="none"/>
              </w:rPr>
              <w:t>MIC</w:t>
            </w:r>
            <w:r>
              <w:rPr>
                <w:rFonts w:hint="eastAsia" w:ascii="宋体" w:hAnsi="宋体" w:cs="宋体"/>
                <w:color w:val="auto"/>
                <w:sz w:val="20"/>
                <w:szCs w:val="20"/>
                <w:highlight w:val="none"/>
              </w:rPr>
              <w:t>输入接口、≥</w:t>
            </w:r>
            <w:r>
              <w:rPr>
                <w:rFonts w:ascii="宋体" w:hAnsi="宋体" w:cs="宋体"/>
                <w:color w:val="auto"/>
                <w:sz w:val="20"/>
                <w:szCs w:val="20"/>
                <w:highlight w:val="none"/>
              </w:rPr>
              <w:t>1</w:t>
            </w:r>
            <w:r>
              <w:rPr>
                <w:rFonts w:hint="eastAsia" w:ascii="宋体" w:hAnsi="宋体" w:cs="宋体"/>
                <w:color w:val="auto"/>
                <w:sz w:val="20"/>
                <w:szCs w:val="20"/>
                <w:highlight w:val="none"/>
              </w:rPr>
              <w:t>路</w:t>
            </w:r>
            <w:r>
              <w:rPr>
                <w:rFonts w:ascii="宋体" w:hAnsi="宋体" w:cs="宋体"/>
                <w:color w:val="auto"/>
                <w:sz w:val="20"/>
                <w:szCs w:val="20"/>
                <w:highlight w:val="none"/>
              </w:rPr>
              <w:t>EMC</w:t>
            </w:r>
            <w:r>
              <w:rPr>
                <w:rFonts w:hint="eastAsia" w:ascii="宋体" w:hAnsi="宋体" w:cs="宋体"/>
                <w:color w:val="auto"/>
                <w:sz w:val="20"/>
                <w:szCs w:val="20"/>
                <w:highlight w:val="none"/>
              </w:rPr>
              <w:t>紧急输入接口、≥</w:t>
            </w:r>
            <w:r>
              <w:rPr>
                <w:rFonts w:ascii="宋体" w:hAnsi="宋体" w:cs="宋体"/>
                <w:color w:val="auto"/>
                <w:sz w:val="20"/>
                <w:szCs w:val="20"/>
                <w:highlight w:val="none"/>
              </w:rPr>
              <w:t>1</w:t>
            </w:r>
            <w:r>
              <w:rPr>
                <w:rFonts w:hint="eastAsia" w:ascii="宋体" w:hAnsi="宋体" w:cs="宋体"/>
                <w:color w:val="auto"/>
                <w:sz w:val="20"/>
                <w:szCs w:val="20"/>
                <w:highlight w:val="none"/>
              </w:rPr>
              <w:t>路</w:t>
            </w:r>
            <w:r>
              <w:rPr>
                <w:rFonts w:ascii="宋体" w:hAnsi="宋体" w:cs="宋体"/>
                <w:color w:val="auto"/>
                <w:sz w:val="20"/>
                <w:szCs w:val="20"/>
                <w:highlight w:val="none"/>
              </w:rPr>
              <w:t>Line out</w:t>
            </w:r>
            <w:r>
              <w:rPr>
                <w:rFonts w:hint="eastAsia" w:ascii="宋体" w:hAnsi="宋体" w:cs="宋体"/>
                <w:color w:val="auto"/>
                <w:sz w:val="20"/>
                <w:szCs w:val="20"/>
                <w:highlight w:val="none"/>
              </w:rPr>
              <w:t>独立音频输出接口。</w:t>
            </w:r>
            <w:r>
              <w:rPr>
                <w:rFonts w:ascii="宋体"/>
                <w:color w:val="auto"/>
                <w:sz w:val="20"/>
                <w:szCs w:val="20"/>
                <w:highlight w:val="none"/>
              </w:rPr>
              <w:br w:type="textWrapping"/>
            </w:r>
            <w:r>
              <w:rPr>
                <w:rFonts w:hint="eastAsia" w:ascii="宋体" w:hAnsi="宋体" w:cs="宋体"/>
                <w:color w:val="auto"/>
                <w:sz w:val="20"/>
                <w:szCs w:val="20"/>
                <w:highlight w:val="none"/>
              </w:rPr>
              <w:t>★</w:t>
            </w:r>
            <w:r>
              <w:rPr>
                <w:rFonts w:ascii="宋体" w:hAnsi="宋体" w:cs="宋体"/>
                <w:color w:val="auto"/>
                <w:sz w:val="20"/>
                <w:szCs w:val="20"/>
                <w:highlight w:val="none"/>
              </w:rPr>
              <w:t>4.</w:t>
            </w:r>
            <w:r>
              <w:rPr>
                <w:rFonts w:hint="eastAsia" w:ascii="宋体" w:hAnsi="宋体" w:cs="宋体"/>
                <w:color w:val="auto"/>
                <w:sz w:val="20"/>
                <w:szCs w:val="20"/>
                <w:highlight w:val="none"/>
              </w:rPr>
              <w:t>内置</w:t>
            </w:r>
            <w:r>
              <w:rPr>
                <w:rFonts w:ascii="宋体" w:hAnsi="宋体" w:cs="宋体"/>
                <w:color w:val="auto"/>
                <w:sz w:val="20"/>
                <w:szCs w:val="20"/>
                <w:highlight w:val="none"/>
              </w:rPr>
              <w:t>100V</w:t>
            </w:r>
            <w:r>
              <w:rPr>
                <w:rFonts w:hint="eastAsia" w:ascii="宋体" w:hAnsi="宋体" w:cs="宋体"/>
                <w:color w:val="auto"/>
                <w:sz w:val="20"/>
                <w:szCs w:val="20"/>
                <w:highlight w:val="none"/>
              </w:rPr>
              <w:t>定压信号备份模块，当网络异常时或设备断电时，自动从数字网络广播切换到模拟定压广播，模拟信号输出到喇叭。</w:t>
            </w:r>
            <w:r>
              <w:rPr>
                <w:rFonts w:hint="eastAsia" w:ascii="宋体" w:hAnsi="宋体" w:cs="宋体"/>
                <w:b/>
                <w:bCs/>
                <w:color w:val="auto"/>
                <w:sz w:val="20"/>
                <w:szCs w:val="20"/>
                <w:highlight w:val="none"/>
              </w:rPr>
              <w:t>（投标时须提供相关证明材料扫描件并加盖投标单位公章）</w:t>
            </w:r>
            <w:r>
              <w:rPr>
                <w:rFonts w:ascii="宋体"/>
                <w:b/>
                <w:bCs/>
                <w:color w:val="auto"/>
                <w:sz w:val="20"/>
                <w:szCs w:val="20"/>
                <w:highlight w:val="none"/>
              </w:rPr>
              <w:br w:type="textWrapping"/>
            </w:r>
            <w:r>
              <w:rPr>
                <w:rFonts w:ascii="宋体" w:hAnsi="宋体" w:cs="宋体"/>
                <w:color w:val="auto"/>
                <w:sz w:val="20"/>
                <w:szCs w:val="20"/>
                <w:highlight w:val="none"/>
              </w:rPr>
              <w:t>5.</w:t>
            </w:r>
            <w:r>
              <w:rPr>
                <w:rFonts w:hint="eastAsia" w:ascii="宋体" w:hAnsi="宋体" w:cs="宋体"/>
                <w:color w:val="auto"/>
                <w:sz w:val="20"/>
                <w:szCs w:val="20"/>
                <w:highlight w:val="none"/>
              </w:rPr>
              <w:t>自带</w:t>
            </w:r>
            <w:r>
              <w:rPr>
                <w:rFonts w:ascii="宋体" w:hAnsi="宋体" w:cs="宋体"/>
                <w:color w:val="auto"/>
                <w:sz w:val="20"/>
                <w:szCs w:val="20"/>
                <w:highlight w:val="none"/>
              </w:rPr>
              <w:t>LED</w:t>
            </w:r>
            <w:r>
              <w:rPr>
                <w:rFonts w:hint="eastAsia" w:ascii="宋体" w:hAnsi="宋体" w:cs="宋体"/>
                <w:color w:val="auto"/>
                <w:sz w:val="20"/>
                <w:szCs w:val="20"/>
                <w:highlight w:val="none"/>
              </w:rPr>
              <w:t>显示屏，支持显示系统时间，可实时同步显示服务器时间。</w:t>
            </w:r>
            <w:r>
              <w:rPr>
                <w:rFonts w:ascii="宋体"/>
                <w:color w:val="auto"/>
                <w:sz w:val="20"/>
                <w:szCs w:val="20"/>
                <w:highlight w:val="none"/>
              </w:rPr>
              <w:br w:type="textWrapping"/>
            </w:r>
            <w:r>
              <w:rPr>
                <w:rFonts w:ascii="宋体" w:hAnsi="宋体" w:cs="宋体"/>
                <w:color w:val="auto"/>
                <w:sz w:val="20"/>
                <w:szCs w:val="20"/>
                <w:highlight w:val="none"/>
              </w:rPr>
              <w:t>6.</w:t>
            </w:r>
            <w:r>
              <w:rPr>
                <w:rFonts w:hint="eastAsia" w:ascii="宋体" w:hAnsi="宋体" w:cs="宋体"/>
                <w:color w:val="auto"/>
                <w:sz w:val="20"/>
                <w:szCs w:val="20"/>
                <w:highlight w:val="none"/>
              </w:rPr>
              <w:t>内置</w:t>
            </w:r>
            <w:r>
              <w:rPr>
                <w:rFonts w:ascii="宋体" w:hAnsi="宋体" w:cs="宋体"/>
                <w:color w:val="auto"/>
                <w:sz w:val="20"/>
                <w:szCs w:val="20"/>
                <w:highlight w:val="none"/>
              </w:rPr>
              <w:t>2.4G</w:t>
            </w:r>
            <w:r>
              <w:rPr>
                <w:rFonts w:hint="eastAsia" w:ascii="宋体" w:hAnsi="宋体" w:cs="宋体"/>
                <w:color w:val="auto"/>
                <w:sz w:val="20"/>
                <w:szCs w:val="20"/>
                <w:highlight w:val="none"/>
              </w:rPr>
              <w:t>无线音频模块。</w:t>
            </w:r>
            <w:r>
              <w:rPr>
                <w:rFonts w:ascii="宋体"/>
                <w:color w:val="auto"/>
                <w:sz w:val="20"/>
                <w:szCs w:val="20"/>
                <w:highlight w:val="none"/>
              </w:rPr>
              <w:br w:type="textWrapping"/>
            </w:r>
            <w:r>
              <w:rPr>
                <w:rFonts w:ascii="宋体" w:hAnsi="宋体" w:cs="宋体"/>
                <w:color w:val="auto"/>
                <w:sz w:val="20"/>
                <w:szCs w:val="20"/>
                <w:highlight w:val="none"/>
              </w:rPr>
              <w:t>7</w:t>
            </w:r>
            <w:r>
              <w:rPr>
                <w:rFonts w:hint="eastAsia" w:ascii="宋体" w:hAnsi="宋体" w:cs="宋体"/>
                <w:color w:val="auto"/>
                <w:sz w:val="20"/>
                <w:szCs w:val="20"/>
                <w:highlight w:val="none"/>
              </w:rPr>
              <w:t>．支持协议：</w:t>
            </w:r>
            <w:r>
              <w:rPr>
                <w:rFonts w:ascii="宋体" w:hAnsi="宋体" w:cs="宋体"/>
                <w:color w:val="auto"/>
                <w:sz w:val="20"/>
                <w:szCs w:val="20"/>
                <w:highlight w:val="none"/>
              </w:rPr>
              <w:t>TCP/IP</w:t>
            </w:r>
            <w:r>
              <w:rPr>
                <w:rFonts w:hint="eastAsia" w:ascii="宋体" w:hAnsi="宋体" w:cs="宋体"/>
                <w:color w:val="auto"/>
                <w:sz w:val="20"/>
                <w:szCs w:val="20"/>
                <w:highlight w:val="none"/>
              </w:rPr>
              <w:t>，</w:t>
            </w:r>
            <w:r>
              <w:rPr>
                <w:rFonts w:ascii="宋体" w:hAnsi="宋体" w:cs="宋体"/>
                <w:color w:val="auto"/>
                <w:sz w:val="20"/>
                <w:szCs w:val="20"/>
                <w:highlight w:val="none"/>
              </w:rPr>
              <w:t>UDP</w:t>
            </w:r>
            <w:r>
              <w:rPr>
                <w:rFonts w:ascii="宋体" w:hAnsi="宋体" w:cs="宋体"/>
                <w:color w:val="auto"/>
                <w:sz w:val="20"/>
                <w:szCs w:val="20"/>
                <w:highlight w:val="none"/>
              </w:rPr>
              <w:br w:type="textWrapping"/>
            </w:r>
            <w:r>
              <w:rPr>
                <w:rFonts w:ascii="宋体" w:hAnsi="宋体" w:cs="宋体"/>
                <w:color w:val="auto"/>
                <w:sz w:val="20"/>
                <w:szCs w:val="20"/>
                <w:highlight w:val="none"/>
              </w:rPr>
              <w:t>8</w:t>
            </w:r>
            <w:r>
              <w:rPr>
                <w:rFonts w:hint="eastAsia" w:ascii="宋体" w:hAnsi="宋体" w:cs="宋体"/>
                <w:color w:val="auto"/>
                <w:sz w:val="20"/>
                <w:szCs w:val="20"/>
                <w:highlight w:val="none"/>
              </w:rPr>
              <w:t>．</w:t>
            </w:r>
            <w:r>
              <w:rPr>
                <w:rFonts w:ascii="宋体" w:hAnsi="宋体" w:cs="宋体"/>
                <w:color w:val="auto"/>
                <w:sz w:val="20"/>
                <w:szCs w:val="20"/>
                <w:highlight w:val="none"/>
              </w:rPr>
              <w:t>AUX</w:t>
            </w:r>
            <w:r>
              <w:rPr>
                <w:rFonts w:hint="eastAsia" w:ascii="宋体" w:hAnsi="宋体" w:cs="宋体"/>
                <w:color w:val="auto"/>
                <w:sz w:val="20"/>
                <w:szCs w:val="20"/>
                <w:highlight w:val="none"/>
              </w:rPr>
              <w:t>输入灵敏度：</w:t>
            </w:r>
            <w:r>
              <w:rPr>
                <w:rFonts w:ascii="宋体" w:hAnsi="宋体" w:cs="宋体"/>
                <w:color w:val="auto"/>
                <w:sz w:val="20"/>
                <w:szCs w:val="20"/>
                <w:highlight w:val="none"/>
              </w:rPr>
              <w:t>350mV  (</w:t>
            </w:r>
            <w:r>
              <w:rPr>
                <w:rFonts w:hint="eastAsia" w:ascii="宋体" w:hAnsi="宋体" w:cs="宋体"/>
                <w:color w:val="auto"/>
                <w:sz w:val="20"/>
                <w:szCs w:val="20"/>
                <w:highlight w:val="none"/>
              </w:rPr>
              <w:t>非平衡）；频率响应：</w:t>
            </w:r>
            <w:r>
              <w:rPr>
                <w:rFonts w:ascii="宋体" w:hAnsi="宋体" w:cs="宋体"/>
                <w:color w:val="auto"/>
                <w:sz w:val="20"/>
                <w:szCs w:val="20"/>
                <w:highlight w:val="none"/>
              </w:rPr>
              <w:t>80Hz</w:t>
            </w:r>
            <w:r>
              <w:rPr>
                <w:rFonts w:hint="eastAsia" w:ascii="宋体" w:hAnsi="宋体" w:cs="宋体"/>
                <w:color w:val="auto"/>
                <w:sz w:val="20"/>
                <w:szCs w:val="20"/>
                <w:highlight w:val="none"/>
              </w:rPr>
              <w:t>～</w:t>
            </w:r>
            <w:r>
              <w:rPr>
                <w:rFonts w:ascii="宋体" w:hAnsi="宋体" w:cs="宋体"/>
                <w:color w:val="auto"/>
                <w:sz w:val="20"/>
                <w:szCs w:val="20"/>
                <w:highlight w:val="none"/>
              </w:rPr>
              <w:t>16KHz   +1/-3dB</w:t>
            </w:r>
            <w:r>
              <w:rPr>
                <w:rFonts w:hint="eastAsia" w:ascii="宋体" w:hAnsi="宋体" w:cs="宋体"/>
                <w:color w:val="auto"/>
                <w:sz w:val="20"/>
                <w:szCs w:val="20"/>
                <w:highlight w:val="none"/>
              </w:rPr>
              <w:t>；谐波失真：≤</w:t>
            </w:r>
            <w:r>
              <w:rPr>
                <w:rFonts w:ascii="宋体" w:hAnsi="宋体" w:cs="宋体"/>
                <w:color w:val="auto"/>
                <w:sz w:val="20"/>
                <w:szCs w:val="20"/>
                <w:highlight w:val="none"/>
              </w:rPr>
              <w:t>1%</w:t>
            </w:r>
            <w:r>
              <w:rPr>
                <w:rFonts w:hint="eastAsia" w:ascii="宋体" w:hAnsi="宋体" w:cs="宋体"/>
                <w:color w:val="auto"/>
                <w:sz w:val="20"/>
                <w:szCs w:val="20"/>
                <w:highlight w:val="none"/>
              </w:rPr>
              <w:t>；信噪比：＞</w:t>
            </w:r>
            <w:r>
              <w:rPr>
                <w:rFonts w:ascii="宋体" w:hAnsi="宋体" w:cs="宋体"/>
                <w:color w:val="auto"/>
                <w:sz w:val="20"/>
                <w:szCs w:val="20"/>
                <w:highlight w:val="none"/>
              </w:rPr>
              <w:t>65dB</w:t>
            </w:r>
            <w:r>
              <w:rPr>
                <w:rFonts w:hint="eastAsia" w:ascii="宋体" w:hAnsi="宋体" w:cs="宋体"/>
                <w:color w:val="auto"/>
                <w:sz w:val="20"/>
                <w:szCs w:val="20"/>
                <w:highlight w:val="none"/>
              </w:rPr>
              <w:t>。</w:t>
            </w:r>
            <w:r>
              <w:rPr>
                <w:rFonts w:ascii="宋体"/>
                <w:color w:val="auto"/>
                <w:sz w:val="20"/>
                <w:szCs w:val="20"/>
                <w:highlight w:val="none"/>
              </w:rPr>
              <w:br w:type="textWrapping"/>
            </w:r>
            <w:r>
              <w:rPr>
                <w:rFonts w:ascii="宋体" w:hAnsi="宋体" w:cs="宋体"/>
                <w:color w:val="auto"/>
                <w:sz w:val="20"/>
                <w:szCs w:val="20"/>
                <w:highlight w:val="none"/>
              </w:rPr>
              <w:t>9.</w:t>
            </w:r>
            <w:r>
              <w:rPr>
                <w:rFonts w:hint="eastAsia" w:ascii="宋体" w:hAnsi="宋体" w:cs="宋体"/>
                <w:color w:val="auto"/>
                <w:sz w:val="20"/>
                <w:szCs w:val="20"/>
                <w:highlight w:val="none"/>
              </w:rPr>
              <w:t>具有定压输入备份功能；采样率为</w:t>
            </w:r>
            <w:r>
              <w:rPr>
                <w:rFonts w:ascii="宋体" w:hAnsi="宋体" w:cs="宋体"/>
                <w:color w:val="auto"/>
                <w:sz w:val="20"/>
                <w:szCs w:val="20"/>
                <w:highlight w:val="none"/>
              </w:rPr>
              <w:t>8KHz</w:t>
            </w:r>
            <w:r>
              <w:rPr>
                <w:rFonts w:hint="eastAsia" w:ascii="宋体" w:hAnsi="宋体" w:cs="宋体"/>
                <w:color w:val="auto"/>
                <w:sz w:val="20"/>
                <w:szCs w:val="20"/>
                <w:highlight w:val="none"/>
              </w:rPr>
              <w:t>～</w:t>
            </w:r>
            <w:r>
              <w:rPr>
                <w:rFonts w:ascii="宋体" w:hAnsi="宋体" w:cs="宋体"/>
                <w:color w:val="auto"/>
                <w:sz w:val="20"/>
                <w:szCs w:val="20"/>
                <w:highlight w:val="none"/>
              </w:rPr>
              <w:t>48KHz</w:t>
            </w:r>
            <w:r>
              <w:rPr>
                <w:rFonts w:hint="eastAsia" w:ascii="宋体" w:hAnsi="宋体" w:cs="宋体"/>
                <w:color w:val="auto"/>
                <w:sz w:val="20"/>
                <w:szCs w:val="20"/>
                <w:highlight w:val="none"/>
              </w:rPr>
              <w:t>时，传输速率不低于</w:t>
            </w:r>
            <w:r>
              <w:rPr>
                <w:rFonts w:ascii="宋体" w:hAnsi="宋体" w:cs="宋体"/>
                <w:color w:val="auto"/>
                <w:sz w:val="20"/>
                <w:szCs w:val="20"/>
                <w:highlight w:val="none"/>
              </w:rPr>
              <w:t>100Mbps</w:t>
            </w:r>
            <w:r>
              <w:rPr>
                <w:rFonts w:hint="eastAsia" w:ascii="宋体" w:hAnsi="宋体" w:cs="宋体"/>
                <w:color w:val="auto"/>
                <w:sz w:val="20"/>
                <w:szCs w:val="20"/>
                <w:highlight w:val="none"/>
              </w:rPr>
              <w:t>。</w:t>
            </w:r>
            <w:r>
              <w:rPr>
                <w:rFonts w:ascii="宋体"/>
                <w:color w:val="auto"/>
                <w:sz w:val="20"/>
                <w:szCs w:val="20"/>
                <w:highlight w:val="none"/>
              </w:rPr>
              <w:br w:type="textWrapping"/>
            </w:r>
            <w:r>
              <w:rPr>
                <w:rFonts w:hint="eastAsia" w:ascii="宋体" w:hAnsi="宋体" w:cs="宋体"/>
                <w:color w:val="auto"/>
                <w:sz w:val="20"/>
                <w:szCs w:val="20"/>
                <w:highlight w:val="none"/>
              </w:rPr>
              <w:t>★</w:t>
            </w:r>
            <w:r>
              <w:rPr>
                <w:rFonts w:ascii="宋体" w:hAnsi="宋体" w:cs="宋体"/>
                <w:color w:val="auto"/>
                <w:sz w:val="20"/>
                <w:szCs w:val="20"/>
                <w:highlight w:val="none"/>
              </w:rPr>
              <w:t>10.</w:t>
            </w:r>
            <w:r>
              <w:rPr>
                <w:rFonts w:hint="eastAsia" w:ascii="宋体" w:hAnsi="宋体" w:cs="宋体"/>
                <w:color w:val="auto"/>
                <w:sz w:val="20"/>
                <w:szCs w:val="20"/>
                <w:highlight w:val="none"/>
              </w:rPr>
              <w:t>内置高性能主备切换模块，断网断电主</w:t>
            </w:r>
            <w:r>
              <w:rPr>
                <w:rFonts w:ascii="宋体" w:hAnsi="宋体" w:cs="宋体"/>
                <w:color w:val="auto"/>
                <w:sz w:val="20"/>
                <w:szCs w:val="20"/>
                <w:highlight w:val="none"/>
              </w:rPr>
              <w:t>/</w:t>
            </w:r>
            <w:r>
              <w:rPr>
                <w:rFonts w:hint="eastAsia" w:ascii="宋体" w:hAnsi="宋体" w:cs="宋体"/>
                <w:color w:val="auto"/>
                <w:sz w:val="20"/>
                <w:szCs w:val="20"/>
                <w:highlight w:val="none"/>
              </w:rPr>
              <w:t>备切换时间小于</w:t>
            </w:r>
            <w:r>
              <w:rPr>
                <w:rFonts w:ascii="宋体" w:hAnsi="宋体" w:cs="宋体"/>
                <w:color w:val="auto"/>
                <w:sz w:val="20"/>
                <w:szCs w:val="20"/>
                <w:highlight w:val="none"/>
              </w:rPr>
              <w:t>0.3</w:t>
            </w:r>
            <w:r>
              <w:rPr>
                <w:rFonts w:hint="eastAsia" w:ascii="宋体" w:hAnsi="宋体" w:cs="宋体"/>
                <w:color w:val="auto"/>
                <w:sz w:val="20"/>
                <w:szCs w:val="20"/>
                <w:highlight w:val="none"/>
              </w:rPr>
              <w:t>秒，通网上电备</w:t>
            </w:r>
            <w:r>
              <w:rPr>
                <w:rFonts w:ascii="宋体" w:hAnsi="宋体" w:cs="宋体"/>
                <w:color w:val="auto"/>
                <w:sz w:val="20"/>
                <w:szCs w:val="20"/>
                <w:highlight w:val="none"/>
              </w:rPr>
              <w:t>/</w:t>
            </w:r>
            <w:r>
              <w:rPr>
                <w:rFonts w:hint="eastAsia" w:ascii="宋体" w:hAnsi="宋体" w:cs="宋体"/>
                <w:color w:val="auto"/>
                <w:sz w:val="20"/>
                <w:szCs w:val="20"/>
                <w:highlight w:val="none"/>
              </w:rPr>
              <w:t>主切换时间小于</w:t>
            </w:r>
            <w:r>
              <w:rPr>
                <w:rFonts w:ascii="宋体" w:hAnsi="宋体" w:cs="宋体"/>
                <w:color w:val="auto"/>
                <w:sz w:val="20"/>
                <w:szCs w:val="20"/>
                <w:highlight w:val="none"/>
              </w:rPr>
              <w:t>0.3</w:t>
            </w:r>
            <w:r>
              <w:rPr>
                <w:rFonts w:hint="eastAsia" w:ascii="宋体" w:hAnsi="宋体" w:cs="宋体"/>
                <w:color w:val="auto"/>
                <w:sz w:val="20"/>
                <w:szCs w:val="20"/>
                <w:highlight w:val="none"/>
              </w:rPr>
              <w:t>秒。</w:t>
            </w:r>
            <w:r>
              <w:rPr>
                <w:rFonts w:hint="eastAsia" w:ascii="宋体" w:hAnsi="宋体" w:cs="宋体"/>
                <w:b/>
                <w:bCs/>
                <w:color w:val="auto"/>
                <w:sz w:val="20"/>
                <w:szCs w:val="20"/>
                <w:highlight w:val="none"/>
              </w:rPr>
              <w:t>（投标时须提供相关证明材料扫描件并加盖投标单位公章）</w:t>
            </w:r>
            <w:r>
              <w:rPr>
                <w:rFonts w:ascii="宋体"/>
                <w:color w:val="auto"/>
                <w:sz w:val="20"/>
                <w:szCs w:val="20"/>
                <w:highlight w:val="none"/>
              </w:rPr>
              <w:br w:type="textWrapping"/>
            </w:r>
            <w:r>
              <w:rPr>
                <w:rFonts w:ascii="宋体" w:hAnsi="宋体" w:cs="宋体"/>
                <w:b/>
                <w:bCs/>
                <w:color w:val="auto"/>
                <w:sz w:val="20"/>
                <w:szCs w:val="20"/>
                <w:highlight w:val="none"/>
              </w:rPr>
              <w:t>11.</w:t>
            </w:r>
            <w:r>
              <w:rPr>
                <w:rFonts w:hint="eastAsia" w:ascii="宋体" w:hAnsi="宋体" w:cs="宋体"/>
                <w:b/>
                <w:bCs/>
                <w:color w:val="auto"/>
                <w:sz w:val="20"/>
                <w:szCs w:val="20"/>
                <w:highlight w:val="none"/>
              </w:rPr>
              <w:t>除清单列明固定数量外，同时每个考点提供不低于</w:t>
            </w:r>
            <w:r>
              <w:rPr>
                <w:rFonts w:ascii="宋体" w:hAnsi="宋体" w:cs="宋体"/>
                <w:b/>
                <w:bCs/>
                <w:color w:val="auto"/>
                <w:sz w:val="20"/>
                <w:szCs w:val="20"/>
                <w:highlight w:val="none"/>
              </w:rPr>
              <w:t>10</w:t>
            </w:r>
            <w:r>
              <w:rPr>
                <w:rFonts w:hint="eastAsia" w:ascii="宋体" w:hAnsi="宋体" w:cs="宋体"/>
                <w:b/>
                <w:bCs/>
                <w:color w:val="auto"/>
                <w:sz w:val="20"/>
                <w:szCs w:val="20"/>
                <w:highlight w:val="none"/>
              </w:rPr>
              <w:t>个备用音箱，费用含在报价中，结算时不再增加任何费用。</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57</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283</w:t>
            </w:r>
          </w:p>
        </w:tc>
      </w:tr>
      <w:tr>
        <w:tblPrEx>
          <w:tblCellMar>
            <w:top w:w="0" w:type="dxa"/>
            <w:left w:w="108" w:type="dxa"/>
            <w:bottom w:w="0" w:type="dxa"/>
            <w:right w:w="108" w:type="dxa"/>
          </w:tblCellMar>
        </w:tblPrEx>
        <w:trPr>
          <w:trHeight w:val="21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网络终端嵌入软件</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支持拓展注册智能语音提示功能。</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终端支持背景音乐播放功能，并且每个终端可以单独调节音量。</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支持本地服务器的</w:t>
            </w:r>
            <w:r>
              <w:rPr>
                <w:rFonts w:ascii="宋体" w:hAnsi="宋体" w:cs="宋体"/>
                <w:color w:val="auto"/>
                <w:sz w:val="20"/>
                <w:szCs w:val="20"/>
              </w:rPr>
              <w:t>MP3</w:t>
            </w:r>
            <w:r>
              <w:rPr>
                <w:rFonts w:hint="eastAsia" w:ascii="宋体" w:hAnsi="宋体" w:cs="宋体"/>
                <w:color w:val="auto"/>
                <w:sz w:val="20"/>
                <w:szCs w:val="20"/>
              </w:rPr>
              <w:t>文件播放功能；且支持单独播放或分区</w:t>
            </w:r>
            <w:r>
              <w:rPr>
                <w:rFonts w:ascii="宋体" w:hAnsi="宋体" w:cs="宋体"/>
                <w:color w:val="auto"/>
                <w:sz w:val="20"/>
                <w:szCs w:val="20"/>
              </w:rPr>
              <w:t>/</w:t>
            </w:r>
            <w:r>
              <w:rPr>
                <w:rFonts w:hint="eastAsia" w:ascii="宋体" w:hAnsi="宋体" w:cs="宋体"/>
                <w:color w:val="auto"/>
                <w:sz w:val="20"/>
                <w:szCs w:val="20"/>
              </w:rPr>
              <w:t>全区播放。</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网络终端内嵌软件，支撑终端设备各项基本功能的运行。</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内嵌高保真</w:t>
            </w:r>
            <w:r>
              <w:rPr>
                <w:rFonts w:ascii="宋体" w:hAnsi="宋体" w:cs="宋体"/>
                <w:color w:val="auto"/>
                <w:sz w:val="20"/>
                <w:szCs w:val="20"/>
              </w:rPr>
              <w:t>DSP</w:t>
            </w:r>
            <w:r>
              <w:rPr>
                <w:rFonts w:hint="eastAsia" w:ascii="宋体" w:hAnsi="宋体" w:cs="宋体"/>
                <w:color w:val="auto"/>
                <w:sz w:val="20"/>
                <w:szCs w:val="20"/>
              </w:rPr>
              <w:t>音频音频解码技术，完美还原音乐文件；支持节目播放、远程点播功能。</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57</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283</w:t>
            </w:r>
          </w:p>
        </w:tc>
      </w:tr>
      <w:tr>
        <w:tblPrEx>
          <w:tblCellMar>
            <w:top w:w="0" w:type="dxa"/>
            <w:left w:w="108" w:type="dxa"/>
            <w:bottom w:w="0" w:type="dxa"/>
            <w:right w:w="108" w:type="dxa"/>
          </w:tblCellMar>
        </w:tblPrEx>
        <w:trPr>
          <w:trHeight w:val="408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主备功放切换器</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同时支持≥</w:t>
            </w:r>
            <w:r>
              <w:rPr>
                <w:rFonts w:ascii="宋体" w:hAnsi="宋体" w:cs="宋体"/>
                <w:color w:val="auto"/>
                <w:sz w:val="20"/>
                <w:szCs w:val="20"/>
              </w:rPr>
              <w:t>8</w:t>
            </w:r>
            <w:r>
              <w:rPr>
                <w:rFonts w:hint="eastAsia" w:ascii="宋体" w:hAnsi="宋体" w:cs="宋体"/>
                <w:color w:val="auto"/>
                <w:sz w:val="20"/>
                <w:szCs w:val="20"/>
              </w:rPr>
              <w:t>路非平衡音频输入输出，≥</w:t>
            </w:r>
            <w:r>
              <w:rPr>
                <w:rFonts w:ascii="宋体" w:hAnsi="宋体" w:cs="宋体"/>
                <w:color w:val="auto"/>
                <w:sz w:val="20"/>
                <w:szCs w:val="20"/>
              </w:rPr>
              <w:t>8</w:t>
            </w:r>
            <w:r>
              <w:rPr>
                <w:rFonts w:hint="eastAsia" w:ascii="宋体" w:hAnsi="宋体" w:cs="宋体"/>
                <w:color w:val="auto"/>
                <w:sz w:val="20"/>
                <w:szCs w:val="20"/>
              </w:rPr>
              <w:t>路功率信号输入输出。</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实时功放状态检测，并且以不同的</w:t>
            </w:r>
            <w:r>
              <w:rPr>
                <w:rFonts w:ascii="宋体" w:hAnsi="宋体" w:cs="宋体"/>
                <w:color w:val="auto"/>
                <w:sz w:val="20"/>
                <w:szCs w:val="20"/>
              </w:rPr>
              <w:t>LED</w:t>
            </w:r>
            <w:r>
              <w:rPr>
                <w:rFonts w:hint="eastAsia" w:ascii="宋体" w:hAnsi="宋体" w:cs="宋体"/>
                <w:color w:val="auto"/>
                <w:sz w:val="20"/>
                <w:szCs w:val="20"/>
              </w:rPr>
              <w:t>颜色指示。</w:t>
            </w:r>
            <w:r>
              <w:rPr>
                <w:rFonts w:ascii="宋体"/>
                <w:color w:val="auto"/>
                <w:sz w:val="20"/>
                <w:szCs w:val="20"/>
              </w:rPr>
              <w:br w:type="textWrapping"/>
            </w:r>
            <w:r>
              <w:rPr>
                <w:rFonts w:hint="eastAsia" w:ascii="宋体" w:hAnsi="宋体" w:cs="宋体"/>
                <w:color w:val="auto"/>
                <w:sz w:val="20"/>
                <w:szCs w:val="20"/>
              </w:rPr>
              <w:t>★</w:t>
            </w:r>
            <w:r>
              <w:rPr>
                <w:rFonts w:ascii="宋体" w:hAnsi="宋体" w:cs="宋体"/>
                <w:color w:val="auto"/>
                <w:sz w:val="20"/>
                <w:szCs w:val="20"/>
                <w:highlight w:val="none"/>
              </w:rPr>
              <w:t>3.</w:t>
            </w:r>
            <w:r>
              <w:rPr>
                <w:rFonts w:hint="eastAsia" w:ascii="宋体" w:hAnsi="宋体" w:cs="宋体"/>
                <w:color w:val="auto"/>
                <w:sz w:val="20"/>
                <w:szCs w:val="20"/>
                <w:highlight w:val="none"/>
              </w:rPr>
              <w:t>主备功放切换时间小于</w:t>
            </w:r>
            <w:r>
              <w:rPr>
                <w:rFonts w:ascii="宋体" w:hAnsi="宋体" w:cs="宋体"/>
                <w:color w:val="auto"/>
                <w:sz w:val="20"/>
                <w:szCs w:val="20"/>
                <w:highlight w:val="none"/>
              </w:rPr>
              <w:t>0.2S</w:t>
            </w:r>
            <w:r>
              <w:rPr>
                <w:rFonts w:hint="eastAsia" w:ascii="宋体" w:hAnsi="宋体" w:cs="宋体"/>
                <w:color w:val="auto"/>
                <w:sz w:val="20"/>
                <w:szCs w:val="20"/>
                <w:highlight w:val="none"/>
              </w:rPr>
              <w:t>，音源无间断切换。</w:t>
            </w:r>
            <w:r>
              <w:rPr>
                <w:rFonts w:hint="eastAsia" w:ascii="宋体" w:hAnsi="宋体" w:cs="宋体"/>
                <w:b/>
                <w:bCs/>
                <w:color w:val="auto"/>
                <w:sz w:val="20"/>
                <w:szCs w:val="20"/>
                <w:highlight w:val="none"/>
              </w:rPr>
              <w:t>（投标时须提供相关证明材料扫描件并加盖投标单位公章）</w:t>
            </w:r>
            <w:r>
              <w:rPr>
                <w:rFonts w:ascii="宋体"/>
                <w:color w:val="auto"/>
                <w:sz w:val="20"/>
                <w:szCs w:val="20"/>
                <w:highlight w:val="none"/>
              </w:rPr>
              <w:br w:type="textWrapping"/>
            </w:r>
            <w:r>
              <w:rPr>
                <w:rFonts w:ascii="宋体" w:hAnsi="宋体" w:cs="宋体"/>
                <w:color w:val="auto"/>
                <w:sz w:val="20"/>
                <w:szCs w:val="20"/>
                <w:highlight w:val="none"/>
              </w:rPr>
              <w:t>4.</w:t>
            </w:r>
            <w:r>
              <w:rPr>
                <w:rFonts w:hint="eastAsia" w:ascii="宋体" w:hAnsi="宋体" w:cs="宋体"/>
                <w:color w:val="auto"/>
                <w:sz w:val="20"/>
                <w:szCs w:val="20"/>
                <w:highlight w:val="none"/>
              </w:rPr>
              <w:t>功放通道切换能力最</w:t>
            </w:r>
            <w:r>
              <w:rPr>
                <w:rFonts w:hint="eastAsia" w:ascii="宋体" w:hAnsi="宋体" w:cs="宋体"/>
                <w:color w:val="auto"/>
                <w:sz w:val="20"/>
                <w:szCs w:val="20"/>
              </w:rPr>
              <w:t>大支持</w:t>
            </w:r>
            <w:r>
              <w:rPr>
                <w:rFonts w:ascii="宋体" w:hAnsi="宋体" w:cs="宋体"/>
                <w:color w:val="auto"/>
                <w:sz w:val="20"/>
                <w:szCs w:val="20"/>
              </w:rPr>
              <w:t>100V,20A</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w:t>
            </w:r>
            <w:r>
              <w:rPr>
                <w:rFonts w:ascii="宋体" w:hAnsi="宋体" w:cs="宋体"/>
                <w:color w:val="auto"/>
                <w:sz w:val="20"/>
                <w:szCs w:val="20"/>
              </w:rPr>
              <w:t>8</w:t>
            </w:r>
            <w:r>
              <w:rPr>
                <w:rFonts w:hint="eastAsia" w:ascii="宋体" w:hAnsi="宋体" w:cs="宋体"/>
                <w:color w:val="auto"/>
                <w:sz w:val="20"/>
                <w:szCs w:val="20"/>
              </w:rPr>
              <w:t>个主功放通道可设置启用或关闭检测功能，通道设置立即生效，不必重启设备。</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设备功放通道切换能力：最大支持</w:t>
            </w:r>
            <w:r>
              <w:rPr>
                <w:rFonts w:ascii="宋体" w:hAnsi="宋体" w:cs="宋体"/>
                <w:color w:val="auto"/>
                <w:sz w:val="20"/>
                <w:szCs w:val="20"/>
              </w:rPr>
              <w:t>100V,20A</w:t>
            </w:r>
            <w:r>
              <w:rPr>
                <w:rFonts w:ascii="宋体" w:hAnsi="宋体" w:cs="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设备频响：</w:t>
            </w:r>
            <w:r>
              <w:rPr>
                <w:rFonts w:ascii="宋体" w:hAnsi="宋体" w:cs="宋体"/>
                <w:color w:val="auto"/>
                <w:sz w:val="20"/>
                <w:szCs w:val="20"/>
              </w:rPr>
              <w:t>20Hz-16KHz</w:t>
            </w:r>
            <w:r>
              <w:rPr>
                <w:rFonts w:hint="eastAsia" w:ascii="宋体" w:hAnsi="宋体" w:cs="宋体"/>
                <w:color w:val="auto"/>
                <w:sz w:val="20"/>
                <w:szCs w:val="20"/>
              </w:rPr>
              <w:t>（</w:t>
            </w:r>
            <w:r>
              <w:rPr>
                <w:rFonts w:ascii="宋体" w:hAnsi="宋体" w:cs="宋体"/>
                <w:color w:val="auto"/>
                <w:sz w:val="20"/>
                <w:szCs w:val="20"/>
              </w:rPr>
              <w:t>+1/-3dB</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设备信噪比：≥</w:t>
            </w:r>
            <w:r>
              <w:rPr>
                <w:rFonts w:ascii="宋体" w:hAnsi="宋体" w:cs="宋体"/>
                <w:color w:val="auto"/>
                <w:sz w:val="20"/>
                <w:szCs w:val="20"/>
              </w:rPr>
              <w:t>70dB</w:t>
            </w:r>
            <w:r>
              <w:rPr>
                <w:rFonts w:ascii="宋体" w:hAnsi="宋体" w:cs="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设备失真：＜</w:t>
            </w:r>
            <w:r>
              <w:rPr>
                <w:rFonts w:ascii="宋体" w:hAnsi="宋体" w:cs="宋体"/>
                <w:color w:val="auto"/>
                <w:sz w:val="20"/>
                <w:szCs w:val="20"/>
              </w:rPr>
              <w:t xml:space="preserve">0.1% </w:t>
            </w:r>
            <w:r>
              <w:rPr>
                <w:rFonts w:hint="eastAsia" w:ascii="宋体" w:hAnsi="宋体" w:cs="宋体"/>
                <w:color w:val="auto"/>
                <w:sz w:val="20"/>
                <w:szCs w:val="20"/>
              </w:rPr>
              <w:t>（额定输出功率）</w:t>
            </w:r>
            <w:r>
              <w:rPr>
                <w:rFonts w:ascii="宋体" w:hAnsi="宋体" w:cs="宋体"/>
                <w:color w:val="auto"/>
                <w:sz w:val="20"/>
                <w:szCs w:val="20"/>
              </w:rPr>
              <w:t>,1KHz</w:t>
            </w:r>
            <w:r>
              <w:rPr>
                <w:rFonts w:ascii="宋体" w:hAnsi="宋体" w:cs="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设备关闭与掉电，不影响正常广播。</w:t>
            </w:r>
            <w:r>
              <w:rPr>
                <w:rFonts w:ascii="宋体"/>
                <w:color w:val="auto"/>
                <w:sz w:val="20"/>
                <w:szCs w:val="20"/>
              </w:rPr>
              <w:br w:type="textWrapping"/>
            </w:r>
            <w:r>
              <w:rPr>
                <w:rFonts w:ascii="宋体" w:hAnsi="宋体" w:cs="宋体"/>
                <w:color w:val="auto"/>
                <w:sz w:val="20"/>
                <w:szCs w:val="20"/>
              </w:rPr>
              <w:t>11.</w:t>
            </w:r>
            <w:r>
              <w:rPr>
                <w:rFonts w:hint="eastAsia" w:ascii="宋体" w:hAnsi="宋体" w:cs="宋体"/>
                <w:color w:val="auto"/>
                <w:sz w:val="20"/>
                <w:szCs w:val="20"/>
              </w:rPr>
              <w:t>设备不低于</w:t>
            </w:r>
            <w:r>
              <w:rPr>
                <w:rFonts w:ascii="宋体" w:hAnsi="宋体" w:cs="宋体"/>
                <w:color w:val="auto"/>
                <w:sz w:val="20"/>
                <w:szCs w:val="20"/>
              </w:rPr>
              <w:t>8</w:t>
            </w:r>
            <w:r>
              <w:rPr>
                <w:rFonts w:hint="eastAsia" w:ascii="宋体" w:hAnsi="宋体" w:cs="宋体"/>
                <w:color w:val="auto"/>
                <w:sz w:val="20"/>
                <w:szCs w:val="20"/>
              </w:rPr>
              <w:t>主</w:t>
            </w:r>
            <w:r>
              <w:rPr>
                <w:rFonts w:ascii="宋体" w:hAnsi="宋体" w:cs="宋体"/>
                <w:color w:val="auto"/>
                <w:sz w:val="20"/>
                <w:szCs w:val="20"/>
              </w:rPr>
              <w:t>1</w:t>
            </w:r>
            <w:r>
              <w:rPr>
                <w:rFonts w:hint="eastAsia" w:ascii="宋体" w:hAnsi="宋体" w:cs="宋体"/>
                <w:color w:val="auto"/>
                <w:sz w:val="20"/>
                <w:szCs w:val="20"/>
              </w:rPr>
              <w:t>备功放自动检测切换器。</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819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控制主机（核心产品）</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设备采用工业级专用主板设计，具有不低于</w:t>
            </w:r>
            <w:r>
              <w:rPr>
                <w:rFonts w:ascii="宋体" w:hAnsi="宋体" w:cs="宋体"/>
                <w:color w:val="auto"/>
                <w:sz w:val="20"/>
                <w:szCs w:val="20"/>
              </w:rPr>
              <w:t>17</w:t>
            </w:r>
            <w:r>
              <w:rPr>
                <w:rFonts w:hint="eastAsia" w:ascii="宋体" w:hAnsi="宋体" w:cs="宋体"/>
                <w:color w:val="auto"/>
                <w:sz w:val="20"/>
                <w:szCs w:val="20"/>
              </w:rPr>
              <w:t>英寸的</w:t>
            </w:r>
            <w:r>
              <w:rPr>
                <w:rFonts w:ascii="宋体" w:hAnsi="宋体" w:cs="宋体"/>
                <w:color w:val="auto"/>
                <w:sz w:val="20"/>
                <w:szCs w:val="20"/>
              </w:rPr>
              <w:t>LED</w:t>
            </w:r>
            <w:r>
              <w:rPr>
                <w:rFonts w:hint="eastAsia" w:ascii="宋体" w:hAnsi="宋体" w:cs="宋体"/>
                <w:color w:val="auto"/>
                <w:sz w:val="20"/>
                <w:szCs w:val="20"/>
              </w:rPr>
              <w:t>液晶触摸屏，要求</w:t>
            </w:r>
            <w:r>
              <w:rPr>
                <w:rFonts w:ascii="宋体" w:hAnsi="宋体" w:cs="宋体"/>
                <w:color w:val="auto"/>
                <w:sz w:val="20"/>
                <w:szCs w:val="20"/>
              </w:rPr>
              <w:t>CPU</w:t>
            </w:r>
            <w:r>
              <w:rPr>
                <w:rFonts w:hint="eastAsia" w:ascii="宋体" w:hAnsi="宋体" w:cs="宋体"/>
                <w:color w:val="auto"/>
                <w:sz w:val="20"/>
                <w:szCs w:val="20"/>
              </w:rPr>
              <w:t>配置等同或优于四核（主频不低于</w:t>
            </w:r>
            <w:r>
              <w:rPr>
                <w:rFonts w:ascii="宋体" w:hAnsi="宋体" w:cs="宋体"/>
                <w:color w:val="auto"/>
                <w:sz w:val="20"/>
                <w:szCs w:val="20"/>
              </w:rPr>
              <w:t>3.4Hz</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配备有标准接口：≥</w:t>
            </w:r>
            <w:r>
              <w:rPr>
                <w:rFonts w:ascii="宋体" w:hAnsi="宋体" w:cs="宋体"/>
                <w:color w:val="auto"/>
                <w:sz w:val="20"/>
                <w:szCs w:val="20"/>
              </w:rPr>
              <w:t>1</w:t>
            </w:r>
            <w:r>
              <w:rPr>
                <w:rFonts w:hint="eastAsia" w:ascii="宋体" w:hAnsi="宋体" w:cs="宋体"/>
                <w:color w:val="auto"/>
                <w:sz w:val="20"/>
                <w:szCs w:val="20"/>
              </w:rPr>
              <w:t>×</w:t>
            </w:r>
            <w:r>
              <w:rPr>
                <w:rFonts w:ascii="宋体" w:hAnsi="宋体" w:cs="宋体"/>
                <w:color w:val="auto"/>
                <w:sz w:val="20"/>
                <w:szCs w:val="20"/>
              </w:rPr>
              <w:t>PS/2</w:t>
            </w:r>
            <w:r>
              <w:rPr>
                <w:rFonts w:hint="eastAsia" w:ascii="宋体" w:hAnsi="宋体" w:cs="宋体"/>
                <w:color w:val="auto"/>
                <w:sz w:val="20"/>
                <w:szCs w:val="20"/>
              </w:rPr>
              <w:t>接口、≥</w:t>
            </w:r>
            <w:r>
              <w:rPr>
                <w:rFonts w:ascii="宋体" w:hAnsi="宋体" w:cs="宋体"/>
                <w:color w:val="auto"/>
                <w:sz w:val="20"/>
                <w:szCs w:val="20"/>
              </w:rPr>
              <w:t>6</w:t>
            </w:r>
            <w:r>
              <w:rPr>
                <w:rFonts w:hint="eastAsia" w:ascii="宋体" w:hAnsi="宋体" w:cs="宋体"/>
                <w:color w:val="auto"/>
                <w:sz w:val="20"/>
                <w:szCs w:val="20"/>
              </w:rPr>
              <w:t>×串口、≥</w:t>
            </w:r>
            <w:r>
              <w:rPr>
                <w:rFonts w:ascii="宋体" w:hAnsi="宋体" w:cs="宋体"/>
                <w:color w:val="auto"/>
                <w:sz w:val="20"/>
                <w:szCs w:val="20"/>
              </w:rPr>
              <w:t>1</w:t>
            </w:r>
            <w:r>
              <w:rPr>
                <w:rFonts w:hint="eastAsia" w:ascii="宋体" w:hAnsi="宋体" w:cs="宋体"/>
                <w:color w:val="auto"/>
                <w:sz w:val="20"/>
                <w:szCs w:val="20"/>
              </w:rPr>
              <w:t>×</w:t>
            </w:r>
            <w:r>
              <w:rPr>
                <w:rFonts w:ascii="宋体" w:hAnsi="宋体" w:cs="宋体"/>
                <w:color w:val="auto"/>
                <w:sz w:val="20"/>
                <w:szCs w:val="20"/>
              </w:rPr>
              <w:t>VGA</w:t>
            </w:r>
            <w:r>
              <w:rPr>
                <w:rFonts w:hint="eastAsia" w:ascii="宋体" w:hAnsi="宋体" w:cs="宋体"/>
                <w:color w:val="auto"/>
                <w:sz w:val="20"/>
                <w:szCs w:val="20"/>
              </w:rPr>
              <w:t>、≥</w:t>
            </w:r>
            <w:r>
              <w:rPr>
                <w:rFonts w:ascii="宋体" w:hAnsi="宋体" w:cs="宋体"/>
                <w:color w:val="auto"/>
                <w:sz w:val="20"/>
                <w:szCs w:val="20"/>
              </w:rPr>
              <w:t>1</w:t>
            </w:r>
            <w:r>
              <w:rPr>
                <w:rFonts w:hint="eastAsia" w:ascii="宋体" w:hAnsi="宋体" w:cs="宋体"/>
                <w:color w:val="auto"/>
                <w:sz w:val="20"/>
                <w:szCs w:val="20"/>
              </w:rPr>
              <w:t>×</w:t>
            </w:r>
            <w:r>
              <w:rPr>
                <w:rFonts w:ascii="宋体" w:hAnsi="宋体" w:cs="宋体"/>
                <w:color w:val="auto"/>
                <w:sz w:val="20"/>
                <w:szCs w:val="20"/>
              </w:rPr>
              <w:t>HDMI</w:t>
            </w:r>
            <w:r>
              <w:rPr>
                <w:rFonts w:hint="eastAsia" w:ascii="宋体" w:hAnsi="宋体" w:cs="宋体"/>
                <w:color w:val="auto"/>
                <w:sz w:val="20"/>
                <w:szCs w:val="20"/>
              </w:rPr>
              <w:t>、≥</w:t>
            </w:r>
            <w:r>
              <w:rPr>
                <w:rFonts w:ascii="宋体" w:hAnsi="宋体" w:cs="宋体"/>
                <w:color w:val="auto"/>
                <w:sz w:val="20"/>
                <w:szCs w:val="20"/>
              </w:rPr>
              <w:t>8</w:t>
            </w:r>
            <w:r>
              <w:rPr>
                <w:rFonts w:hint="eastAsia" w:ascii="宋体" w:hAnsi="宋体" w:cs="宋体"/>
                <w:color w:val="auto"/>
                <w:sz w:val="20"/>
                <w:szCs w:val="20"/>
              </w:rPr>
              <w:t>×</w:t>
            </w:r>
            <w:r>
              <w:rPr>
                <w:rFonts w:ascii="宋体" w:hAnsi="宋体" w:cs="宋体"/>
                <w:color w:val="auto"/>
                <w:sz w:val="20"/>
                <w:szCs w:val="20"/>
              </w:rPr>
              <w:t>USB</w:t>
            </w:r>
            <w:r>
              <w:rPr>
                <w:rFonts w:hint="eastAsia" w:ascii="宋体" w:hAnsi="宋体" w:cs="宋体"/>
                <w:color w:val="auto"/>
                <w:sz w:val="20"/>
                <w:szCs w:val="20"/>
              </w:rPr>
              <w:t>接口；自带工控抽拉式键盘。</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接收外部音频信号并采集至服务器节目频道，由服务器统一播放至前端各网络音频终端。</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支持操作系统配置通电自动开机、定时自动开机，定时自动关机功能；支持外部设备触发自动开机功能。</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服务器级系统</w:t>
            </w:r>
            <w:r>
              <w:rPr>
                <w:rFonts w:ascii="宋体" w:hAnsi="宋体" w:cs="宋体"/>
                <w:color w:val="auto"/>
                <w:sz w:val="20"/>
                <w:szCs w:val="20"/>
              </w:rPr>
              <w:t xml:space="preserve"> (Linux</w:t>
            </w:r>
            <w:r>
              <w:rPr>
                <w:rFonts w:hint="eastAsia" w:ascii="宋体" w:hAnsi="宋体" w:cs="宋体"/>
                <w:color w:val="auto"/>
                <w:sz w:val="20"/>
                <w:szCs w:val="20"/>
              </w:rPr>
              <w:t>系统）作为核心操作平台，同时支持</w:t>
            </w:r>
            <w:r>
              <w:rPr>
                <w:rFonts w:ascii="宋体" w:hAnsi="宋体" w:cs="宋体"/>
                <w:color w:val="auto"/>
                <w:sz w:val="20"/>
                <w:szCs w:val="20"/>
              </w:rPr>
              <w:t>Windows Server 2008 R2 Standard(x64),Windows Server 2012 R2 Standard(x64)</w:t>
            </w:r>
            <w:r>
              <w:rPr>
                <w:rFonts w:hint="eastAsia" w:ascii="宋体" w:hAnsi="宋体" w:cs="宋体"/>
                <w:color w:val="auto"/>
                <w:sz w:val="20"/>
                <w:szCs w:val="20"/>
              </w:rPr>
              <w:t>及以上操作系统。</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系统具有备份机制，当主服务器出现故障时可实现无缝切换。</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设备标配双网络接口，支持交换扩展模式及冗余备份模式，全速率连接最高达≥</w:t>
            </w:r>
            <w:r>
              <w:rPr>
                <w:rFonts w:ascii="宋体" w:hAnsi="宋体" w:cs="宋体"/>
                <w:color w:val="auto"/>
                <w:sz w:val="20"/>
                <w:szCs w:val="20"/>
              </w:rPr>
              <w:t>1000M</w:t>
            </w:r>
            <w:r>
              <w:rPr>
                <w:rFonts w:hint="eastAsia" w:ascii="宋体" w:hAnsi="宋体" w:cs="宋体"/>
                <w:color w:val="auto"/>
                <w:sz w:val="20"/>
                <w:szCs w:val="20"/>
              </w:rPr>
              <w:t>，支持跨网段和跨路由模式。支持主次服务器模式应用，次服务器做托管应用。</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支持多台服务器分布式布署与服务器集群架构。</w:t>
            </w:r>
            <w:r>
              <w:rPr>
                <w:rFonts w:ascii="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最大可管理≥</w:t>
            </w:r>
            <w:r>
              <w:rPr>
                <w:rFonts w:ascii="宋体" w:hAnsi="宋体" w:cs="宋体"/>
                <w:color w:val="auto"/>
                <w:sz w:val="20"/>
                <w:szCs w:val="20"/>
              </w:rPr>
              <w:t>300</w:t>
            </w:r>
            <w:r>
              <w:rPr>
                <w:rFonts w:hint="eastAsia" w:ascii="宋体" w:hAnsi="宋体" w:cs="宋体"/>
                <w:color w:val="auto"/>
                <w:sz w:val="20"/>
                <w:szCs w:val="20"/>
              </w:rPr>
              <w:t>个终端设备，支持最大≥</w:t>
            </w:r>
            <w:r>
              <w:rPr>
                <w:rFonts w:ascii="宋体" w:hAnsi="宋体" w:cs="宋体"/>
                <w:color w:val="auto"/>
                <w:sz w:val="20"/>
                <w:szCs w:val="20"/>
              </w:rPr>
              <w:t>150</w:t>
            </w:r>
            <w:r>
              <w:rPr>
                <w:rFonts w:hint="eastAsia" w:ascii="宋体" w:hAnsi="宋体" w:cs="宋体"/>
                <w:color w:val="auto"/>
                <w:sz w:val="20"/>
                <w:szCs w:val="20"/>
              </w:rPr>
              <w:t>组差异化的实时任务。设备概况：</w:t>
            </w:r>
            <w:r>
              <w:rPr>
                <w:rFonts w:ascii="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设备支持</w:t>
            </w:r>
            <w:r>
              <w:rPr>
                <w:rFonts w:ascii="宋体" w:hAnsi="宋体" w:cs="宋体"/>
                <w:color w:val="auto"/>
                <w:sz w:val="20"/>
                <w:szCs w:val="20"/>
              </w:rPr>
              <w:t>IPV6</w:t>
            </w:r>
            <w:r>
              <w:rPr>
                <w:rFonts w:hint="eastAsia" w:ascii="宋体" w:hAnsi="宋体" w:cs="宋体"/>
                <w:color w:val="auto"/>
                <w:sz w:val="20"/>
                <w:szCs w:val="20"/>
              </w:rPr>
              <w:t>、</w:t>
            </w:r>
            <w:r>
              <w:rPr>
                <w:rFonts w:ascii="宋体" w:hAnsi="宋体" w:cs="宋体"/>
                <w:color w:val="auto"/>
                <w:sz w:val="20"/>
                <w:szCs w:val="20"/>
              </w:rPr>
              <w:t>IPV4</w:t>
            </w:r>
            <w:r>
              <w:rPr>
                <w:rFonts w:hint="eastAsia" w:ascii="宋体" w:hAnsi="宋体" w:cs="宋体"/>
                <w:color w:val="auto"/>
                <w:sz w:val="20"/>
                <w:szCs w:val="20"/>
              </w:rPr>
              <w:t>网络协议。</w:t>
            </w:r>
            <w:r>
              <w:rPr>
                <w:rFonts w:ascii="宋体"/>
                <w:color w:val="auto"/>
                <w:sz w:val="20"/>
                <w:szCs w:val="20"/>
              </w:rPr>
              <w:br w:type="textWrapping"/>
            </w:r>
            <w:r>
              <w:rPr>
                <w:rFonts w:ascii="宋体" w:hAnsi="宋体" w:cs="宋体"/>
                <w:color w:val="auto"/>
                <w:sz w:val="20"/>
                <w:szCs w:val="20"/>
              </w:rPr>
              <w:t>11.</w:t>
            </w:r>
            <w:r>
              <w:rPr>
                <w:rFonts w:hint="eastAsia" w:ascii="宋体" w:hAnsi="宋体" w:cs="宋体"/>
                <w:color w:val="auto"/>
                <w:sz w:val="20"/>
                <w:szCs w:val="20"/>
              </w:rPr>
              <w:t>设备具有对整个广播系统进行实时有效管理的功能。</w:t>
            </w:r>
            <w:r>
              <w:rPr>
                <w:rFonts w:ascii="宋体"/>
                <w:color w:val="auto"/>
                <w:sz w:val="20"/>
                <w:szCs w:val="20"/>
              </w:rPr>
              <w:br w:type="textWrapping"/>
            </w:r>
            <w:r>
              <w:rPr>
                <w:rFonts w:ascii="宋体" w:hAnsi="宋体" w:cs="宋体"/>
                <w:color w:val="auto"/>
                <w:sz w:val="20"/>
                <w:szCs w:val="20"/>
              </w:rPr>
              <w:t>12.</w:t>
            </w:r>
            <w:r>
              <w:rPr>
                <w:rFonts w:hint="eastAsia" w:ascii="宋体" w:hAnsi="宋体" w:cs="宋体"/>
                <w:color w:val="auto"/>
                <w:sz w:val="20"/>
                <w:szCs w:val="20"/>
              </w:rPr>
              <w:t>音频信号失真度：</w:t>
            </w:r>
            <w:r>
              <w:rPr>
                <w:rFonts w:ascii="宋体" w:hAnsi="宋体" w:cs="宋体"/>
                <w:color w:val="auto"/>
                <w:sz w:val="20"/>
                <w:szCs w:val="20"/>
              </w:rPr>
              <w:t>1KHz&lt;0.5%</w:t>
            </w:r>
            <w:r>
              <w:rPr>
                <w:rFonts w:ascii="宋体" w:hAnsi="宋体" w:cs="宋体"/>
                <w:color w:val="auto"/>
                <w:sz w:val="20"/>
                <w:szCs w:val="20"/>
              </w:rPr>
              <w:br w:type="textWrapping"/>
            </w:r>
            <w:r>
              <w:rPr>
                <w:rFonts w:ascii="宋体" w:hAnsi="宋体" w:cs="宋体"/>
                <w:color w:val="auto"/>
                <w:sz w:val="20"/>
                <w:szCs w:val="20"/>
              </w:rPr>
              <w:t>13.</w:t>
            </w:r>
            <w:r>
              <w:rPr>
                <w:rFonts w:hint="eastAsia" w:ascii="宋体" w:hAnsi="宋体" w:cs="宋体"/>
                <w:color w:val="auto"/>
                <w:sz w:val="20"/>
                <w:szCs w:val="20"/>
              </w:rPr>
              <w:t>音频信号信噪比：</w:t>
            </w:r>
            <w:r>
              <w:rPr>
                <w:rFonts w:ascii="宋体" w:hAnsi="宋体" w:cs="宋体"/>
                <w:color w:val="auto"/>
                <w:sz w:val="20"/>
                <w:szCs w:val="20"/>
              </w:rPr>
              <w:t>LINE:</w:t>
            </w:r>
            <w:r>
              <w:rPr>
                <w:rFonts w:hint="eastAsia" w:ascii="宋体" w:hAnsi="宋体" w:cs="宋体"/>
                <w:color w:val="auto"/>
                <w:sz w:val="20"/>
                <w:szCs w:val="20"/>
              </w:rPr>
              <w:t>不低于</w:t>
            </w:r>
            <w:r>
              <w:rPr>
                <w:rFonts w:ascii="宋体" w:hAnsi="宋体" w:cs="宋体"/>
                <w:color w:val="auto"/>
                <w:sz w:val="20"/>
                <w:szCs w:val="20"/>
              </w:rPr>
              <w:t>70dB</w:t>
            </w:r>
            <w:r>
              <w:rPr>
                <w:rFonts w:hint="eastAsia" w:ascii="宋体" w:hAnsi="宋体" w:cs="宋体"/>
                <w:color w:val="auto"/>
                <w:sz w:val="20"/>
                <w:szCs w:val="20"/>
              </w:rPr>
              <w:t>；</w:t>
            </w:r>
            <w:r>
              <w:rPr>
                <w:rFonts w:ascii="宋体" w:hAnsi="宋体" w:cs="宋体"/>
                <w:color w:val="auto"/>
                <w:sz w:val="20"/>
                <w:szCs w:val="20"/>
              </w:rPr>
              <w:t>MIC:</w:t>
            </w:r>
            <w:r>
              <w:rPr>
                <w:rFonts w:hint="eastAsia" w:ascii="宋体" w:hAnsi="宋体" w:cs="宋体"/>
                <w:color w:val="auto"/>
                <w:sz w:val="20"/>
                <w:szCs w:val="20"/>
              </w:rPr>
              <w:t>不低于</w:t>
            </w:r>
            <w:r>
              <w:rPr>
                <w:rFonts w:ascii="宋体" w:hAnsi="宋体" w:cs="宋体"/>
                <w:color w:val="auto"/>
                <w:sz w:val="20"/>
                <w:szCs w:val="20"/>
              </w:rPr>
              <w:t>60dB</w:t>
            </w:r>
            <w:r>
              <w:rPr>
                <w:rFonts w:ascii="宋体" w:hAnsi="宋体" w:cs="宋体"/>
                <w:color w:val="auto"/>
                <w:sz w:val="20"/>
                <w:szCs w:val="20"/>
              </w:rPr>
              <w:br w:type="textWrapping"/>
            </w:r>
            <w:r>
              <w:rPr>
                <w:rFonts w:hint="eastAsia" w:ascii="宋体" w:hAnsi="宋体" w:cs="宋体"/>
                <w:color w:val="auto"/>
                <w:sz w:val="20"/>
                <w:szCs w:val="20"/>
              </w:rPr>
              <w:t>★</w:t>
            </w:r>
            <w:r>
              <w:rPr>
                <w:rFonts w:hint="eastAsia" w:ascii="宋体" w:hAnsi="宋体" w:cs="宋体"/>
                <w:b/>
                <w:bCs/>
                <w:color w:val="auto"/>
                <w:sz w:val="20"/>
                <w:szCs w:val="20"/>
              </w:rPr>
              <w:t>14.本项目招标要求的广播系统，属于公共扩声系统，所投产品的公共扩声系统须符合国家行政管理部门行业技术规范要求，有国家行政管理部门技术规范或第三方国家权威机构的认证材料或符合技术规范要求的承诺函（投标时须提供证明材料复印件或符合技术规范的承诺函加盖投标单位公章）</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45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17</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网络音箱</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终端设备采用壁挂式设计，自带≥</w:t>
            </w:r>
            <w:r>
              <w:rPr>
                <w:rFonts w:ascii="宋体" w:hAnsi="宋体" w:cs="宋体"/>
                <w:color w:val="auto"/>
                <w:sz w:val="20"/>
                <w:szCs w:val="20"/>
              </w:rPr>
              <w:t>2</w:t>
            </w:r>
            <w:r>
              <w:rPr>
                <w:rFonts w:hint="eastAsia" w:ascii="宋体" w:hAnsi="宋体" w:cs="宋体"/>
                <w:color w:val="auto"/>
                <w:sz w:val="20"/>
                <w:szCs w:val="20"/>
              </w:rPr>
              <w:t>×</w:t>
            </w:r>
            <w:r>
              <w:rPr>
                <w:rFonts w:ascii="宋体" w:hAnsi="宋体" w:cs="宋体"/>
                <w:color w:val="auto"/>
                <w:sz w:val="20"/>
                <w:szCs w:val="20"/>
              </w:rPr>
              <w:t>60W</w:t>
            </w:r>
            <w:r>
              <w:rPr>
                <w:rFonts w:hint="eastAsia" w:ascii="宋体" w:hAnsi="宋体" w:cs="宋体"/>
                <w:color w:val="auto"/>
                <w:sz w:val="20"/>
                <w:szCs w:val="20"/>
              </w:rPr>
              <w:t>功率放大器模块。（主</w:t>
            </w:r>
            <w:r>
              <w:rPr>
                <w:rFonts w:ascii="宋体" w:hAnsi="宋体" w:cs="宋体"/>
                <w:color w:val="auto"/>
                <w:sz w:val="20"/>
                <w:szCs w:val="20"/>
              </w:rPr>
              <w:t>/</w:t>
            </w:r>
            <w:r>
              <w:rPr>
                <w:rFonts w:hint="eastAsia" w:ascii="宋体" w:hAnsi="宋体" w:cs="宋体"/>
                <w:color w:val="auto"/>
                <w:sz w:val="20"/>
                <w:szCs w:val="20"/>
              </w:rPr>
              <w:t>备各一只）</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支持离线自动播放功能。</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具备≥</w:t>
            </w:r>
            <w:r>
              <w:rPr>
                <w:rFonts w:ascii="宋体" w:hAnsi="宋体" w:cs="宋体"/>
                <w:color w:val="auto"/>
                <w:sz w:val="20"/>
                <w:szCs w:val="20"/>
              </w:rPr>
              <w:t>1</w:t>
            </w:r>
            <w:r>
              <w:rPr>
                <w:rFonts w:hint="eastAsia" w:ascii="宋体" w:hAnsi="宋体" w:cs="宋体"/>
                <w:color w:val="auto"/>
                <w:sz w:val="20"/>
                <w:szCs w:val="20"/>
              </w:rPr>
              <w:t>路</w:t>
            </w:r>
            <w:r>
              <w:rPr>
                <w:rFonts w:ascii="宋体" w:hAnsi="宋体" w:cs="宋体"/>
                <w:color w:val="auto"/>
                <w:sz w:val="20"/>
                <w:szCs w:val="20"/>
              </w:rPr>
              <w:t>AUX</w:t>
            </w:r>
            <w:r>
              <w:rPr>
                <w:rFonts w:hint="eastAsia" w:ascii="宋体" w:hAnsi="宋体" w:cs="宋体"/>
                <w:color w:val="auto"/>
                <w:sz w:val="20"/>
                <w:szCs w:val="20"/>
              </w:rPr>
              <w:t>音频输入接口、≥</w:t>
            </w:r>
            <w:r>
              <w:rPr>
                <w:rFonts w:ascii="宋体" w:hAnsi="宋体" w:cs="宋体"/>
                <w:color w:val="auto"/>
                <w:sz w:val="20"/>
                <w:szCs w:val="20"/>
              </w:rPr>
              <w:t>1</w:t>
            </w:r>
            <w:r>
              <w:rPr>
                <w:rFonts w:hint="eastAsia" w:ascii="宋体" w:hAnsi="宋体" w:cs="宋体"/>
                <w:color w:val="auto"/>
                <w:sz w:val="20"/>
                <w:szCs w:val="20"/>
              </w:rPr>
              <w:t>组</w:t>
            </w:r>
            <w:r>
              <w:rPr>
                <w:rFonts w:ascii="宋体" w:hAnsi="宋体" w:cs="宋体"/>
                <w:color w:val="auto"/>
                <w:sz w:val="20"/>
                <w:szCs w:val="20"/>
              </w:rPr>
              <w:t>MIC</w:t>
            </w:r>
            <w:r>
              <w:rPr>
                <w:rFonts w:hint="eastAsia" w:ascii="宋体" w:hAnsi="宋体" w:cs="宋体"/>
                <w:color w:val="auto"/>
                <w:sz w:val="20"/>
                <w:szCs w:val="20"/>
              </w:rPr>
              <w:t>输入接口、≥</w:t>
            </w:r>
            <w:r>
              <w:rPr>
                <w:rFonts w:ascii="宋体" w:hAnsi="宋体" w:cs="宋体"/>
                <w:color w:val="auto"/>
                <w:sz w:val="20"/>
                <w:szCs w:val="20"/>
              </w:rPr>
              <w:t>1</w:t>
            </w:r>
            <w:r>
              <w:rPr>
                <w:rFonts w:hint="eastAsia" w:ascii="宋体" w:hAnsi="宋体" w:cs="宋体"/>
                <w:color w:val="auto"/>
                <w:sz w:val="20"/>
                <w:szCs w:val="20"/>
              </w:rPr>
              <w:t>路</w:t>
            </w:r>
            <w:r>
              <w:rPr>
                <w:rFonts w:ascii="宋体" w:hAnsi="宋体" w:cs="宋体"/>
                <w:color w:val="auto"/>
                <w:sz w:val="20"/>
                <w:szCs w:val="20"/>
              </w:rPr>
              <w:t>EMC</w:t>
            </w:r>
            <w:r>
              <w:rPr>
                <w:rFonts w:hint="eastAsia" w:ascii="宋体" w:hAnsi="宋体" w:cs="宋体"/>
                <w:color w:val="auto"/>
                <w:sz w:val="20"/>
                <w:szCs w:val="20"/>
              </w:rPr>
              <w:t>紧急输入接口、≥</w:t>
            </w:r>
            <w:r>
              <w:rPr>
                <w:rFonts w:ascii="宋体" w:hAnsi="宋体" w:cs="宋体"/>
                <w:color w:val="auto"/>
                <w:sz w:val="20"/>
                <w:szCs w:val="20"/>
              </w:rPr>
              <w:t>1</w:t>
            </w:r>
            <w:r>
              <w:rPr>
                <w:rFonts w:hint="eastAsia" w:ascii="宋体" w:hAnsi="宋体" w:cs="宋体"/>
                <w:color w:val="auto"/>
                <w:sz w:val="20"/>
                <w:szCs w:val="20"/>
              </w:rPr>
              <w:t>路</w:t>
            </w:r>
            <w:r>
              <w:rPr>
                <w:rFonts w:ascii="宋体" w:hAnsi="宋体" w:cs="宋体"/>
                <w:color w:val="auto"/>
                <w:sz w:val="20"/>
                <w:szCs w:val="20"/>
              </w:rPr>
              <w:t>Line out</w:t>
            </w:r>
            <w:r>
              <w:rPr>
                <w:rFonts w:hint="eastAsia" w:ascii="宋体" w:hAnsi="宋体" w:cs="宋体"/>
                <w:color w:val="auto"/>
                <w:sz w:val="20"/>
                <w:szCs w:val="20"/>
              </w:rPr>
              <w:t>独立音频输出接口。</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内置</w:t>
            </w:r>
            <w:r>
              <w:rPr>
                <w:rFonts w:ascii="宋体" w:hAnsi="宋体" w:cs="宋体"/>
                <w:color w:val="auto"/>
                <w:sz w:val="20"/>
                <w:szCs w:val="20"/>
              </w:rPr>
              <w:t>100V</w:t>
            </w:r>
            <w:r>
              <w:rPr>
                <w:rFonts w:hint="eastAsia" w:ascii="宋体" w:hAnsi="宋体" w:cs="宋体"/>
                <w:color w:val="auto"/>
                <w:sz w:val="20"/>
                <w:szCs w:val="20"/>
              </w:rPr>
              <w:t>定压信号备份模块，当网络异常时或设备断电时，自动从数字网络广播切换到模拟定压广播，模拟信号输出到喇叭。</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自带</w:t>
            </w:r>
            <w:r>
              <w:rPr>
                <w:rFonts w:ascii="宋体" w:hAnsi="宋体" w:cs="宋体"/>
                <w:color w:val="auto"/>
                <w:sz w:val="20"/>
                <w:szCs w:val="20"/>
              </w:rPr>
              <w:t>LED</w:t>
            </w:r>
            <w:r>
              <w:rPr>
                <w:rFonts w:hint="eastAsia" w:ascii="宋体" w:hAnsi="宋体" w:cs="宋体"/>
                <w:color w:val="auto"/>
                <w:sz w:val="20"/>
                <w:szCs w:val="20"/>
              </w:rPr>
              <w:t>显示屏，支持显示系统时间，可实时同步显示服务器时间。</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内置</w:t>
            </w:r>
            <w:r>
              <w:rPr>
                <w:rFonts w:ascii="宋体" w:hAnsi="宋体" w:cs="宋体"/>
                <w:color w:val="auto"/>
                <w:sz w:val="20"/>
                <w:szCs w:val="20"/>
              </w:rPr>
              <w:t>2.4G</w:t>
            </w:r>
            <w:r>
              <w:rPr>
                <w:rFonts w:hint="eastAsia" w:ascii="宋体" w:hAnsi="宋体" w:cs="宋体"/>
                <w:color w:val="auto"/>
                <w:sz w:val="20"/>
                <w:szCs w:val="20"/>
              </w:rPr>
              <w:t>无线音频模块。</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．支持协议：</w:t>
            </w:r>
            <w:r>
              <w:rPr>
                <w:rFonts w:ascii="宋体" w:hAnsi="宋体" w:cs="宋体"/>
                <w:color w:val="auto"/>
                <w:sz w:val="20"/>
                <w:szCs w:val="20"/>
              </w:rPr>
              <w:t>TCP/IP</w:t>
            </w:r>
            <w:r>
              <w:rPr>
                <w:rFonts w:hint="eastAsia" w:ascii="宋体" w:hAnsi="宋体" w:cs="宋体"/>
                <w:color w:val="auto"/>
                <w:sz w:val="20"/>
                <w:szCs w:val="20"/>
              </w:rPr>
              <w:t>，</w:t>
            </w:r>
            <w:r>
              <w:rPr>
                <w:rFonts w:ascii="宋体" w:hAnsi="宋体" w:cs="宋体"/>
                <w:color w:val="auto"/>
                <w:sz w:val="20"/>
                <w:szCs w:val="20"/>
              </w:rPr>
              <w:t>UDP</w:t>
            </w:r>
            <w:r>
              <w:rPr>
                <w:rFonts w:ascii="宋体" w:hAnsi="宋体" w:cs="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w:t>
            </w:r>
            <w:r>
              <w:rPr>
                <w:rFonts w:ascii="宋体" w:hAnsi="宋体" w:cs="宋体"/>
                <w:color w:val="auto"/>
                <w:sz w:val="20"/>
                <w:szCs w:val="20"/>
              </w:rPr>
              <w:t>AUX</w:t>
            </w:r>
            <w:r>
              <w:rPr>
                <w:rFonts w:hint="eastAsia" w:ascii="宋体" w:hAnsi="宋体" w:cs="宋体"/>
                <w:color w:val="auto"/>
                <w:sz w:val="20"/>
                <w:szCs w:val="20"/>
              </w:rPr>
              <w:t>输入灵敏度：</w:t>
            </w:r>
            <w:r>
              <w:rPr>
                <w:rFonts w:ascii="宋体" w:hAnsi="宋体" w:cs="宋体"/>
                <w:color w:val="auto"/>
                <w:sz w:val="20"/>
                <w:szCs w:val="20"/>
              </w:rPr>
              <w:t>350mV  (</w:t>
            </w:r>
            <w:r>
              <w:rPr>
                <w:rFonts w:hint="eastAsia" w:ascii="宋体" w:hAnsi="宋体" w:cs="宋体"/>
                <w:color w:val="auto"/>
                <w:sz w:val="20"/>
                <w:szCs w:val="20"/>
              </w:rPr>
              <w:t>非平衡）；频率响应：</w:t>
            </w:r>
            <w:r>
              <w:rPr>
                <w:rFonts w:ascii="宋体" w:hAnsi="宋体" w:cs="宋体"/>
                <w:color w:val="auto"/>
                <w:sz w:val="20"/>
                <w:szCs w:val="20"/>
              </w:rPr>
              <w:t>80Hz</w:t>
            </w:r>
            <w:r>
              <w:rPr>
                <w:rFonts w:hint="eastAsia" w:ascii="宋体" w:hAnsi="宋体" w:cs="宋体"/>
                <w:color w:val="auto"/>
                <w:sz w:val="20"/>
                <w:szCs w:val="20"/>
              </w:rPr>
              <w:t>～</w:t>
            </w:r>
            <w:r>
              <w:rPr>
                <w:rFonts w:ascii="宋体" w:hAnsi="宋体" w:cs="宋体"/>
                <w:color w:val="auto"/>
                <w:sz w:val="20"/>
                <w:szCs w:val="20"/>
              </w:rPr>
              <w:t>16KHz   +1/-3dB</w:t>
            </w:r>
            <w:r>
              <w:rPr>
                <w:rFonts w:hint="eastAsia" w:ascii="宋体" w:hAnsi="宋体" w:cs="宋体"/>
                <w:color w:val="auto"/>
                <w:sz w:val="20"/>
                <w:szCs w:val="20"/>
              </w:rPr>
              <w:t>；谐波失真：≤</w:t>
            </w:r>
            <w:r>
              <w:rPr>
                <w:rFonts w:ascii="宋体" w:hAnsi="宋体" w:cs="宋体"/>
                <w:color w:val="auto"/>
                <w:sz w:val="20"/>
                <w:szCs w:val="20"/>
              </w:rPr>
              <w:t>1%</w:t>
            </w:r>
            <w:r>
              <w:rPr>
                <w:rFonts w:hint="eastAsia" w:ascii="宋体" w:hAnsi="宋体" w:cs="宋体"/>
                <w:color w:val="auto"/>
                <w:sz w:val="20"/>
                <w:szCs w:val="20"/>
              </w:rPr>
              <w:t>；信噪比：＞</w:t>
            </w:r>
            <w:r>
              <w:rPr>
                <w:rFonts w:ascii="宋体" w:hAnsi="宋体" w:cs="宋体"/>
                <w:color w:val="auto"/>
                <w:sz w:val="20"/>
                <w:szCs w:val="20"/>
              </w:rPr>
              <w:t>65dB</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9.</w:t>
            </w:r>
            <w:r>
              <w:rPr>
                <w:rFonts w:hint="eastAsia" w:ascii="宋体" w:hAnsi="宋体" w:cs="宋体"/>
                <w:color w:val="auto"/>
                <w:sz w:val="20"/>
                <w:szCs w:val="20"/>
              </w:rPr>
              <w:t>具有定压输入备份功能；采样率为</w:t>
            </w:r>
            <w:r>
              <w:rPr>
                <w:rFonts w:ascii="宋体" w:hAnsi="宋体" w:cs="宋体"/>
                <w:color w:val="auto"/>
                <w:sz w:val="20"/>
                <w:szCs w:val="20"/>
              </w:rPr>
              <w:t>8KHz</w:t>
            </w:r>
            <w:r>
              <w:rPr>
                <w:rFonts w:hint="eastAsia" w:ascii="宋体" w:hAnsi="宋体" w:cs="宋体"/>
                <w:color w:val="auto"/>
                <w:sz w:val="20"/>
                <w:szCs w:val="20"/>
              </w:rPr>
              <w:t>～</w:t>
            </w:r>
            <w:r>
              <w:rPr>
                <w:rFonts w:ascii="宋体" w:hAnsi="宋体" w:cs="宋体"/>
                <w:color w:val="auto"/>
                <w:sz w:val="20"/>
                <w:szCs w:val="20"/>
              </w:rPr>
              <w:t>48KHz</w:t>
            </w:r>
            <w:r>
              <w:rPr>
                <w:rFonts w:hint="eastAsia" w:ascii="宋体" w:hAnsi="宋体" w:cs="宋体"/>
                <w:color w:val="auto"/>
                <w:sz w:val="20"/>
                <w:szCs w:val="20"/>
              </w:rPr>
              <w:t>时，传输速率不低于</w:t>
            </w:r>
            <w:r>
              <w:rPr>
                <w:rFonts w:ascii="宋体" w:hAnsi="宋体" w:cs="宋体"/>
                <w:color w:val="auto"/>
                <w:sz w:val="20"/>
                <w:szCs w:val="20"/>
              </w:rPr>
              <w:t>100Mbps</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10.</w:t>
            </w:r>
            <w:r>
              <w:rPr>
                <w:rFonts w:hint="eastAsia" w:ascii="宋体" w:hAnsi="宋体" w:cs="宋体"/>
                <w:color w:val="auto"/>
                <w:sz w:val="20"/>
                <w:szCs w:val="20"/>
              </w:rPr>
              <w:t>具有红外遥控播放本地</w:t>
            </w:r>
            <w:r>
              <w:rPr>
                <w:rFonts w:ascii="宋体" w:hAnsi="宋体" w:cs="宋体"/>
                <w:color w:val="auto"/>
                <w:sz w:val="20"/>
                <w:szCs w:val="20"/>
              </w:rPr>
              <w:t>IP</w:t>
            </w:r>
            <w:r>
              <w:rPr>
                <w:rFonts w:hint="eastAsia" w:ascii="宋体" w:hAnsi="宋体" w:cs="宋体"/>
                <w:color w:val="auto"/>
                <w:sz w:val="20"/>
                <w:szCs w:val="20"/>
              </w:rPr>
              <w:t>地址功能。</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21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18</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有源音箱扩声软件</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支持拓展注册智能语音提示功能。</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终端支持背景音乐播放功能，并且每个终端可以单独调节音量。</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支持本地服务器的</w:t>
            </w:r>
            <w:r>
              <w:rPr>
                <w:rFonts w:ascii="宋体" w:hAnsi="宋体" w:cs="宋体"/>
                <w:color w:val="auto"/>
                <w:sz w:val="20"/>
                <w:szCs w:val="20"/>
              </w:rPr>
              <w:t>MP3</w:t>
            </w:r>
            <w:r>
              <w:rPr>
                <w:rFonts w:hint="eastAsia" w:ascii="宋体" w:hAnsi="宋体" w:cs="宋体"/>
                <w:color w:val="auto"/>
                <w:sz w:val="20"/>
                <w:szCs w:val="20"/>
              </w:rPr>
              <w:t>文件播放功能；且支持单独播放或分区</w:t>
            </w:r>
            <w:r>
              <w:rPr>
                <w:rFonts w:ascii="宋体" w:hAnsi="宋体" w:cs="宋体"/>
                <w:color w:val="auto"/>
                <w:sz w:val="20"/>
                <w:szCs w:val="20"/>
              </w:rPr>
              <w:t>/</w:t>
            </w:r>
            <w:r>
              <w:rPr>
                <w:rFonts w:hint="eastAsia" w:ascii="宋体" w:hAnsi="宋体" w:cs="宋体"/>
                <w:color w:val="auto"/>
                <w:sz w:val="20"/>
                <w:szCs w:val="20"/>
              </w:rPr>
              <w:t>全区播放。</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网络终端内嵌软件，支撑终端设备各项基本功能的运行。</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内嵌高保真</w:t>
            </w:r>
            <w:r>
              <w:rPr>
                <w:rFonts w:ascii="宋体" w:hAnsi="宋体" w:cs="宋体"/>
                <w:color w:val="auto"/>
                <w:sz w:val="20"/>
                <w:szCs w:val="20"/>
              </w:rPr>
              <w:t>DSP</w:t>
            </w:r>
            <w:r>
              <w:rPr>
                <w:rFonts w:hint="eastAsia" w:ascii="宋体" w:hAnsi="宋体" w:cs="宋体"/>
                <w:color w:val="auto"/>
                <w:sz w:val="20"/>
                <w:szCs w:val="20"/>
              </w:rPr>
              <w:t>音频音频解码技术，完美还原音乐文件；支持节目播放、远程点播功能。</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614"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19</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网络广播客户端管理软件</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系统具有广播管理和控制功能，系统采用</w:t>
            </w:r>
            <w:r>
              <w:rPr>
                <w:rFonts w:ascii="宋体" w:hAnsi="宋体" w:cs="宋体"/>
                <w:color w:val="auto"/>
                <w:sz w:val="20"/>
                <w:szCs w:val="20"/>
              </w:rPr>
              <w:t>Linux</w:t>
            </w:r>
            <w:r>
              <w:rPr>
                <w:rFonts w:hint="eastAsia" w:ascii="宋体" w:hAnsi="宋体" w:cs="宋体"/>
                <w:color w:val="auto"/>
                <w:sz w:val="20"/>
                <w:szCs w:val="20"/>
              </w:rPr>
              <w:t>操作系统。</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系统支持定时节目播放，可根据任务计划执行定时、定点的全自动播出节目功能；支持定时离线文件播放、录音、定时服务器媒体播放、定时频道广播等多种执行编程方案；支持设置多套定时方案，支持任意选配终端或分区。</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支持音频终端全双工实时双向通话，支持自定义一键广播、一键对讲、一键会议、一键媒体库文件播放等功能。</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系统具有任务触发机制，支持触发、拆除触发、终端上线触发、终端离线触发、声压检测触发、短路触发等触发类型，可自定义执行本地媒体播放、本地接收频道广播、录音、发短信、发送邮件、短路输出等类型的任务。</w:t>
            </w:r>
            <w:r>
              <w:rPr>
                <w:rFonts w:ascii="宋体"/>
                <w:color w:val="auto"/>
                <w:sz w:val="20"/>
                <w:szCs w:val="20"/>
              </w:rPr>
              <w:br w:type="textWrapping"/>
            </w:r>
            <w:r>
              <w:rPr>
                <w:rFonts w:ascii="宋体" w:hAnsi="宋体" w:cs="宋体"/>
                <w:color w:val="auto"/>
                <w:sz w:val="20"/>
                <w:szCs w:val="20"/>
              </w:rPr>
              <w:t>5.</w:t>
            </w:r>
            <w:r>
              <w:rPr>
                <w:rFonts w:hint="eastAsia" w:ascii="宋体" w:hAnsi="宋体" w:cs="宋体"/>
                <w:color w:val="auto"/>
                <w:sz w:val="20"/>
                <w:szCs w:val="20"/>
              </w:rPr>
              <w:t>支持</w:t>
            </w:r>
            <w:r>
              <w:rPr>
                <w:rFonts w:ascii="宋体" w:hAnsi="宋体" w:cs="宋体"/>
                <w:color w:val="auto"/>
                <w:sz w:val="20"/>
                <w:szCs w:val="20"/>
              </w:rPr>
              <w:t>TTS</w:t>
            </w:r>
            <w:r>
              <w:rPr>
                <w:rFonts w:hint="eastAsia" w:ascii="宋体" w:hAnsi="宋体" w:cs="宋体"/>
                <w:color w:val="auto"/>
                <w:sz w:val="20"/>
                <w:szCs w:val="20"/>
              </w:rPr>
              <w:t>语音播报，实现将文本转成语音播放，为了适应不同场合场景需求，要求可在后台设置</w:t>
            </w:r>
            <w:r>
              <w:rPr>
                <w:rFonts w:ascii="宋体" w:hAnsi="宋体" w:cs="宋体"/>
                <w:color w:val="auto"/>
                <w:sz w:val="20"/>
                <w:szCs w:val="20"/>
              </w:rPr>
              <w:t>1~99</w:t>
            </w:r>
            <w:r>
              <w:rPr>
                <w:rFonts w:hint="eastAsia" w:ascii="宋体" w:hAnsi="宋体" w:cs="宋体"/>
                <w:color w:val="auto"/>
                <w:sz w:val="20"/>
                <w:szCs w:val="20"/>
              </w:rPr>
              <w:t>语速范围、可选择男声或女声。</w:t>
            </w:r>
            <w:r>
              <w:rPr>
                <w:rFonts w:ascii="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支持对终端音量策略进行设置，可配置模拟输入音量：包括</w:t>
            </w:r>
            <w:r>
              <w:rPr>
                <w:rFonts w:ascii="宋体" w:hAnsi="宋体" w:cs="宋体"/>
                <w:color w:val="auto"/>
                <w:sz w:val="20"/>
                <w:szCs w:val="20"/>
              </w:rPr>
              <w:t>MIC</w:t>
            </w:r>
            <w:r>
              <w:rPr>
                <w:rFonts w:hint="eastAsia" w:ascii="宋体" w:hAnsi="宋体" w:cs="宋体"/>
                <w:color w:val="auto"/>
                <w:sz w:val="20"/>
                <w:szCs w:val="20"/>
              </w:rPr>
              <w:t>、</w:t>
            </w:r>
            <w:r>
              <w:rPr>
                <w:rFonts w:ascii="宋体" w:hAnsi="宋体" w:cs="宋体"/>
                <w:color w:val="auto"/>
                <w:sz w:val="20"/>
                <w:szCs w:val="20"/>
              </w:rPr>
              <w:t>AUX</w:t>
            </w:r>
            <w:r>
              <w:rPr>
                <w:rFonts w:hint="eastAsia" w:ascii="宋体" w:hAnsi="宋体" w:cs="宋体"/>
                <w:color w:val="auto"/>
                <w:sz w:val="20"/>
                <w:szCs w:val="20"/>
              </w:rPr>
              <w:t>的音量，可配置数字信号音量：包括音乐、对讲、广播、的音量从静音和</w:t>
            </w:r>
            <w:r>
              <w:rPr>
                <w:rFonts w:ascii="宋体" w:hAnsi="宋体" w:cs="宋体"/>
                <w:color w:val="auto"/>
                <w:sz w:val="20"/>
                <w:szCs w:val="20"/>
              </w:rPr>
              <w:t>1~100</w:t>
            </w:r>
            <w:r>
              <w:rPr>
                <w:rFonts w:hint="eastAsia" w:ascii="宋体" w:hAnsi="宋体" w:cs="宋体"/>
                <w:color w:val="auto"/>
                <w:sz w:val="20"/>
                <w:szCs w:val="20"/>
              </w:rPr>
              <w:t>范围可调。</w:t>
            </w:r>
            <w:r>
              <w:rPr>
                <w:rFonts w:ascii="宋体"/>
                <w:color w:val="auto"/>
                <w:sz w:val="20"/>
                <w:szCs w:val="20"/>
              </w:rPr>
              <w:br w:type="textWrapping"/>
            </w:r>
            <w:r>
              <w:rPr>
                <w:rFonts w:ascii="宋体" w:hAnsi="宋体" w:cs="宋体"/>
                <w:color w:val="auto"/>
                <w:sz w:val="20"/>
                <w:szCs w:val="20"/>
              </w:rPr>
              <w:t>7.</w:t>
            </w:r>
            <w:r>
              <w:rPr>
                <w:rFonts w:hint="eastAsia" w:ascii="宋体" w:hAnsi="宋体" w:cs="宋体"/>
                <w:color w:val="auto"/>
                <w:sz w:val="20"/>
                <w:szCs w:val="20"/>
              </w:rPr>
              <w:t>可实现与其他系统平台对接。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192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20</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校时设备</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设备采用机柜式设计，自动实现卫星自动校时，使用地球同步卫星作为校时基准，与格林威治时间误差小于</w:t>
            </w:r>
            <w:r>
              <w:rPr>
                <w:rFonts w:ascii="宋体" w:hAnsi="宋体" w:cs="宋体"/>
                <w:color w:val="auto"/>
                <w:sz w:val="20"/>
                <w:szCs w:val="20"/>
              </w:rPr>
              <w:t>0.1</w:t>
            </w:r>
            <w:r>
              <w:rPr>
                <w:rFonts w:hint="eastAsia" w:ascii="宋体" w:hAnsi="宋体" w:cs="宋体"/>
                <w:color w:val="auto"/>
                <w:sz w:val="20"/>
                <w:szCs w:val="20"/>
              </w:rPr>
              <w:t>秒。</w:t>
            </w:r>
            <w:r>
              <w:rPr>
                <w:rFonts w:ascii="宋体"/>
                <w:color w:val="auto"/>
                <w:sz w:val="20"/>
                <w:szCs w:val="20"/>
              </w:rPr>
              <w:br w:type="textWrapping"/>
            </w:r>
            <w:r>
              <w:rPr>
                <w:rFonts w:ascii="宋体" w:hAnsi="宋体" w:cs="宋体"/>
                <w:color w:val="auto"/>
                <w:sz w:val="20"/>
                <w:szCs w:val="20"/>
              </w:rPr>
              <w:t>2.</w:t>
            </w:r>
            <w:r>
              <w:rPr>
                <w:rFonts w:hint="eastAsia" w:ascii="宋体" w:hAnsi="宋体" w:cs="宋体"/>
                <w:color w:val="auto"/>
                <w:sz w:val="20"/>
                <w:szCs w:val="20"/>
              </w:rPr>
              <w:t>液晶显示屏可显示时间。</w:t>
            </w:r>
            <w:r>
              <w:rPr>
                <w:rFonts w:ascii="宋体"/>
                <w:color w:val="auto"/>
                <w:sz w:val="20"/>
                <w:szCs w:val="20"/>
              </w:rPr>
              <w:br w:type="textWrapping"/>
            </w:r>
            <w:r>
              <w:rPr>
                <w:rFonts w:ascii="宋体" w:hAnsi="宋体" w:cs="宋体"/>
                <w:color w:val="auto"/>
                <w:sz w:val="20"/>
                <w:szCs w:val="20"/>
              </w:rPr>
              <w:t>3.</w:t>
            </w:r>
            <w:r>
              <w:rPr>
                <w:rFonts w:hint="eastAsia" w:ascii="宋体" w:hAnsi="宋体" w:cs="宋体"/>
                <w:color w:val="auto"/>
                <w:sz w:val="20"/>
                <w:szCs w:val="20"/>
              </w:rPr>
              <w:t>支持与公共广播系统对接作为校时系统。</w:t>
            </w:r>
            <w:r>
              <w:rPr>
                <w:rFonts w:ascii="宋体"/>
                <w:color w:val="auto"/>
                <w:sz w:val="20"/>
                <w:szCs w:val="20"/>
              </w:rPr>
              <w:br w:type="textWrapping"/>
            </w:r>
            <w:r>
              <w:rPr>
                <w:rFonts w:ascii="宋体" w:hAnsi="宋体" w:cs="宋体"/>
                <w:color w:val="auto"/>
                <w:sz w:val="20"/>
                <w:szCs w:val="20"/>
              </w:rPr>
              <w:t>4.</w:t>
            </w:r>
            <w:r>
              <w:rPr>
                <w:rFonts w:hint="eastAsia" w:ascii="宋体" w:hAnsi="宋体" w:cs="宋体"/>
                <w:color w:val="auto"/>
                <w:sz w:val="20"/>
                <w:szCs w:val="20"/>
              </w:rPr>
              <w:t>系统带北斗卫星导航系统（</w:t>
            </w:r>
            <w:r>
              <w:rPr>
                <w:rFonts w:ascii="宋体" w:hAnsi="宋体" w:cs="宋体"/>
                <w:color w:val="auto"/>
                <w:sz w:val="20"/>
                <w:szCs w:val="20"/>
              </w:rPr>
              <w:t>BDS</w:t>
            </w:r>
            <w:r>
              <w:rPr>
                <w:rFonts w:hint="eastAsia" w:ascii="宋体" w:hAnsi="宋体" w:cs="宋体"/>
                <w:color w:val="auto"/>
                <w:sz w:val="20"/>
                <w:szCs w:val="20"/>
              </w:rPr>
              <w:t>）</w:t>
            </w:r>
            <w:r>
              <w:rPr>
                <w:rFonts w:ascii="宋体" w:hAnsi="宋体" w:cs="宋体"/>
                <w:color w:val="auto"/>
                <w:sz w:val="20"/>
                <w:szCs w:val="20"/>
              </w:rPr>
              <w:t>+GPS</w:t>
            </w:r>
            <w:r>
              <w:rPr>
                <w:rFonts w:hint="eastAsia" w:ascii="宋体" w:hAnsi="宋体" w:cs="宋体"/>
                <w:color w:val="auto"/>
                <w:sz w:val="20"/>
                <w:szCs w:val="20"/>
              </w:rPr>
              <w:t>卫星定位系统两大定位系统，可以实现后台远程切换两个不同系统。</w:t>
            </w:r>
            <w:r>
              <w:rPr>
                <w:rFonts w:ascii="宋体" w:hAnsi="宋体" w:cs="宋体"/>
                <w:color w:val="auto"/>
                <w:sz w:val="20"/>
                <w:szCs w:val="20"/>
              </w:rPr>
              <w:t xml:space="preserve">       </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302"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21</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UPS</w:t>
            </w:r>
            <w:r>
              <w:rPr>
                <w:rFonts w:hint="eastAsia" w:ascii="宋体" w:hAnsi="宋体" w:cs="宋体"/>
                <w:color w:val="auto"/>
                <w:sz w:val="20"/>
                <w:szCs w:val="20"/>
              </w:rPr>
              <w:t>主机</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color w:val="auto"/>
              </w:rPr>
              <w:t>1.</w:t>
            </w:r>
            <w:r>
              <w:rPr>
                <w:rFonts w:hint="eastAsia" w:cs="宋体"/>
                <w:color w:val="auto"/>
              </w:rPr>
              <w:t>规格：</w:t>
            </w:r>
            <w:r>
              <w:rPr>
                <w:color w:val="auto"/>
              </w:rPr>
              <w:t>10KVA (</w:t>
            </w:r>
            <w:r>
              <w:rPr>
                <w:rFonts w:hint="eastAsia" w:cs="宋体"/>
                <w:color w:val="auto"/>
              </w:rPr>
              <w:t>在线式</w:t>
            </w:r>
            <w:r>
              <w:rPr>
                <w:color w:val="auto"/>
              </w:rPr>
              <w:t>)</w:t>
            </w:r>
            <w:r>
              <w:rPr>
                <w:color w:val="auto"/>
              </w:rPr>
              <w:br w:type="textWrapping"/>
            </w:r>
            <w:r>
              <w:rPr>
                <w:color w:val="auto"/>
              </w:rPr>
              <w:t>2.</w:t>
            </w:r>
            <w:r>
              <w:rPr>
                <w:rFonts w:hint="eastAsia" w:cs="宋体"/>
                <w:color w:val="auto"/>
              </w:rPr>
              <w:t>输入指标</w:t>
            </w:r>
            <w:r>
              <w:rPr>
                <w:color w:val="auto"/>
              </w:rPr>
              <w:br w:type="textWrapping"/>
            </w:r>
            <w:r>
              <w:rPr>
                <w:color w:val="auto"/>
              </w:rPr>
              <w:t>1)UPS</w:t>
            </w:r>
            <w:r>
              <w:rPr>
                <w:rFonts w:hint="eastAsia" w:cs="宋体"/>
                <w:color w:val="auto"/>
              </w:rPr>
              <w:t>主机要求：</w:t>
            </w:r>
            <w:r>
              <w:rPr>
                <w:color w:val="auto"/>
              </w:rPr>
              <w:t>10KVA</w:t>
            </w:r>
            <w:r>
              <w:rPr>
                <w:rFonts w:hint="eastAsia" w:cs="宋体"/>
                <w:color w:val="auto"/>
              </w:rPr>
              <w:t>单进单出；</w:t>
            </w:r>
            <w:r>
              <w:rPr>
                <w:color w:val="auto"/>
              </w:rPr>
              <w:br w:type="textWrapping"/>
            </w:r>
            <w:r>
              <w:rPr>
                <w:color w:val="auto"/>
              </w:rPr>
              <w:t>2)</w:t>
            </w:r>
            <w:r>
              <w:rPr>
                <w:rFonts w:hint="eastAsia" w:cs="宋体"/>
                <w:color w:val="auto"/>
              </w:rPr>
              <w:t>输入额定电压：</w:t>
            </w:r>
            <w:r>
              <w:rPr>
                <w:color w:val="auto"/>
              </w:rPr>
              <w:t>220Vac/230Vac/240Vac</w:t>
            </w:r>
            <w:r>
              <w:rPr>
                <w:rFonts w:hint="eastAsia" w:cs="宋体"/>
                <w:color w:val="auto"/>
              </w:rPr>
              <w:t>；</w:t>
            </w:r>
            <w:r>
              <w:rPr>
                <w:color w:val="auto"/>
              </w:rPr>
              <w:br w:type="textWrapping"/>
            </w:r>
            <w:r>
              <w:rPr>
                <w:color w:val="auto"/>
              </w:rPr>
              <w:t>3)</w:t>
            </w:r>
            <w:r>
              <w:rPr>
                <w:rFonts w:hint="eastAsia" w:cs="宋体"/>
                <w:color w:val="auto"/>
              </w:rPr>
              <w:t>输入电压可变范围：</w:t>
            </w:r>
            <w:r>
              <w:rPr>
                <w:color w:val="auto"/>
              </w:rPr>
              <w:t>165</w:t>
            </w:r>
            <w:r>
              <w:rPr>
                <w:rFonts w:hint="eastAsia" w:cs="宋体"/>
                <w:color w:val="auto"/>
              </w:rPr>
              <w:t>～</w:t>
            </w:r>
            <w:r>
              <w:rPr>
                <w:color w:val="auto"/>
              </w:rPr>
              <w:t>275Vac</w:t>
            </w:r>
            <w:r>
              <w:rPr>
                <w:rFonts w:hint="eastAsia" w:cs="宋体"/>
                <w:color w:val="auto"/>
              </w:rPr>
              <w:t>；</w:t>
            </w:r>
            <w:r>
              <w:rPr>
                <w:color w:val="auto"/>
              </w:rPr>
              <w:br w:type="textWrapping"/>
            </w:r>
            <w:r>
              <w:rPr>
                <w:color w:val="auto"/>
              </w:rPr>
              <w:t>4)</w:t>
            </w:r>
            <w:r>
              <w:rPr>
                <w:rFonts w:hint="eastAsia" w:cs="宋体"/>
                <w:color w:val="auto"/>
              </w:rPr>
              <w:t>输入频率</w:t>
            </w:r>
            <w:r>
              <w:rPr>
                <w:color w:val="auto"/>
              </w:rPr>
              <w:t>40-70Hz</w:t>
            </w:r>
            <w:r>
              <w:rPr>
                <w:rFonts w:hint="eastAsia" w:cs="宋体"/>
                <w:color w:val="auto"/>
              </w:rPr>
              <w:t>；</w:t>
            </w:r>
            <w:r>
              <w:rPr>
                <w:color w:val="auto"/>
              </w:rPr>
              <w:br w:type="textWrapping"/>
            </w:r>
            <w:r>
              <w:rPr>
                <w:color w:val="auto"/>
              </w:rPr>
              <w:t>5)</w:t>
            </w:r>
            <w:r>
              <w:rPr>
                <w:rFonts w:hint="eastAsia" w:cs="宋体"/>
                <w:color w:val="auto"/>
              </w:rPr>
              <w:t>电池电压</w:t>
            </w:r>
            <w:r>
              <w:rPr>
                <w:color w:val="auto"/>
              </w:rPr>
              <w:t>192VDC</w:t>
            </w:r>
            <w:r>
              <w:rPr>
                <w:rFonts w:hint="eastAsia" w:cs="宋体"/>
                <w:color w:val="auto"/>
              </w:rPr>
              <w:t>电池节数</w:t>
            </w:r>
            <w:r>
              <w:rPr>
                <w:color w:val="auto"/>
              </w:rPr>
              <w:t>12V16</w:t>
            </w:r>
            <w:r>
              <w:rPr>
                <w:rFonts w:hint="eastAsia" w:cs="宋体"/>
                <w:color w:val="auto"/>
              </w:rPr>
              <w:t>节。</w:t>
            </w:r>
            <w:r>
              <w:rPr>
                <w:color w:val="auto"/>
              </w:rPr>
              <w:br w:type="textWrapping"/>
            </w:r>
            <w:r>
              <w:rPr>
                <w:color w:val="auto"/>
              </w:rPr>
              <w:t>3.</w:t>
            </w:r>
            <w:r>
              <w:rPr>
                <w:rFonts w:hint="eastAsia" w:cs="宋体"/>
                <w:color w:val="auto"/>
              </w:rPr>
              <w:t>输出指标</w:t>
            </w:r>
            <w:r>
              <w:rPr>
                <w:color w:val="auto"/>
              </w:rPr>
              <w:br w:type="textWrapping"/>
            </w:r>
            <w:r>
              <w:rPr>
                <w:color w:val="auto"/>
              </w:rPr>
              <w:t>1)</w:t>
            </w:r>
            <w:r>
              <w:rPr>
                <w:rFonts w:hint="eastAsia" w:cs="宋体"/>
                <w:color w:val="auto"/>
              </w:rPr>
              <w:t>输出额定电压：</w:t>
            </w:r>
            <w:r>
              <w:rPr>
                <w:color w:val="auto"/>
              </w:rPr>
              <w:t>220/230/240Vac</w:t>
            </w:r>
            <w:r>
              <w:rPr>
                <w:rFonts w:hint="eastAsia" w:cs="宋体"/>
                <w:color w:val="auto"/>
              </w:rPr>
              <w:t>；</w:t>
            </w:r>
            <w:r>
              <w:rPr>
                <w:color w:val="auto"/>
              </w:rPr>
              <w:br w:type="textWrapping"/>
            </w:r>
            <w:r>
              <w:rPr>
                <w:color w:val="auto"/>
              </w:rPr>
              <w:t>2)</w:t>
            </w:r>
            <w:r>
              <w:rPr>
                <w:rFonts w:hint="eastAsia" w:cs="宋体"/>
                <w:color w:val="auto"/>
              </w:rPr>
              <w:t>输出电压稳压精度：</w:t>
            </w:r>
            <w:r>
              <w:rPr>
                <w:color w:val="auto"/>
              </w:rPr>
              <w:t>220</w:t>
            </w:r>
            <w:r>
              <w:rPr>
                <w:rFonts w:hint="eastAsia" w:cs="宋体"/>
                <w:color w:val="auto"/>
              </w:rPr>
              <w:t>±</w:t>
            </w:r>
            <w:r>
              <w:rPr>
                <w:color w:val="auto"/>
              </w:rPr>
              <w:t>1%</w:t>
            </w:r>
            <w:r>
              <w:rPr>
                <w:rFonts w:hint="eastAsia" w:cs="宋体"/>
                <w:color w:val="auto"/>
              </w:rPr>
              <w:t>；</w:t>
            </w:r>
            <w:r>
              <w:rPr>
                <w:color w:val="auto"/>
              </w:rPr>
              <w:br w:type="textWrapping"/>
            </w:r>
            <w:r>
              <w:rPr>
                <w:color w:val="auto"/>
              </w:rPr>
              <w:t>3)</w:t>
            </w:r>
            <w:r>
              <w:rPr>
                <w:rFonts w:hint="eastAsia" w:cs="宋体"/>
                <w:color w:val="auto"/>
              </w:rPr>
              <w:t>输出功率因数：≥</w:t>
            </w:r>
            <w:r>
              <w:rPr>
                <w:color w:val="auto"/>
              </w:rPr>
              <w:t>0.8</w:t>
            </w:r>
            <w:r>
              <w:rPr>
                <w:rFonts w:hint="eastAsia" w:cs="宋体"/>
                <w:color w:val="auto"/>
              </w:rPr>
              <w:t>；</w:t>
            </w:r>
            <w:r>
              <w:rPr>
                <w:color w:val="auto"/>
              </w:rPr>
              <w:br w:type="textWrapping"/>
            </w:r>
            <w:r>
              <w:rPr>
                <w:color w:val="auto"/>
              </w:rPr>
              <w:t>4)</w:t>
            </w:r>
            <w:r>
              <w:rPr>
                <w:rFonts w:hint="eastAsia" w:cs="宋体"/>
                <w:color w:val="auto"/>
              </w:rPr>
              <w:t>输出波形失真度：≤</w:t>
            </w:r>
            <w:r>
              <w:rPr>
                <w:color w:val="auto"/>
              </w:rPr>
              <w:t>2%(</w:t>
            </w:r>
            <w:r>
              <w:rPr>
                <w:rFonts w:hint="eastAsia" w:cs="宋体"/>
                <w:color w:val="auto"/>
              </w:rPr>
              <w:t>线性负载）；≤</w:t>
            </w:r>
            <w:r>
              <w:rPr>
                <w:color w:val="auto"/>
              </w:rPr>
              <w:t>4%</w:t>
            </w:r>
            <w:r>
              <w:rPr>
                <w:rFonts w:hint="eastAsia" w:cs="宋体"/>
                <w:color w:val="auto"/>
              </w:rPr>
              <w:t>（非线性负载）；</w:t>
            </w:r>
            <w:r>
              <w:rPr>
                <w:color w:val="auto"/>
              </w:rPr>
              <w:br w:type="textWrapping"/>
            </w:r>
            <w:r>
              <w:rPr>
                <w:color w:val="auto"/>
              </w:rPr>
              <w:t>5)</w:t>
            </w:r>
            <w:r>
              <w:rPr>
                <w:rFonts w:hint="eastAsia" w:cs="宋体"/>
                <w:color w:val="auto"/>
              </w:rPr>
              <w:t>过载能力：负载≤</w:t>
            </w:r>
            <w:r>
              <w:rPr>
                <w:color w:val="auto"/>
              </w:rPr>
              <w:t>125%</w:t>
            </w:r>
            <w:r>
              <w:rPr>
                <w:rFonts w:hint="eastAsia" w:cs="宋体"/>
                <w:color w:val="auto"/>
              </w:rPr>
              <w:t>，</w:t>
            </w:r>
            <w:r>
              <w:rPr>
                <w:color w:val="auto"/>
              </w:rPr>
              <w:t>10</w:t>
            </w:r>
            <w:r>
              <w:rPr>
                <w:rFonts w:hint="eastAsia" w:cs="宋体"/>
                <w:color w:val="auto"/>
              </w:rPr>
              <w:t>分钟后转旁路；</w:t>
            </w:r>
            <w:r>
              <w:rPr>
                <w:color w:val="auto"/>
              </w:rPr>
              <w:t xml:space="preserve"> </w:t>
            </w:r>
            <w:r>
              <w:rPr>
                <w:color w:val="auto"/>
              </w:rPr>
              <w:br w:type="textWrapping"/>
            </w:r>
            <w:r>
              <w:rPr>
                <w:color w:val="auto"/>
              </w:rPr>
              <w:t>4.</w:t>
            </w:r>
            <w:r>
              <w:rPr>
                <w:rFonts w:hint="eastAsia" w:cs="宋体"/>
                <w:color w:val="auto"/>
              </w:rPr>
              <w:t>功能要求</w:t>
            </w:r>
            <w:r>
              <w:rPr>
                <w:color w:val="auto"/>
              </w:rPr>
              <w:br w:type="textWrapping"/>
            </w:r>
            <w:r>
              <w:rPr>
                <w:color w:val="auto"/>
              </w:rPr>
              <w:t>1)</w:t>
            </w:r>
            <w:r>
              <w:rPr>
                <w:rFonts w:hint="eastAsia" w:cs="宋体"/>
                <w:color w:val="auto"/>
              </w:rPr>
              <w:t>保护功能：输出短路、过载、过温度、电池低压、输出过欠压、风扇故障保护等；</w:t>
            </w:r>
            <w:r>
              <w:rPr>
                <w:color w:val="auto"/>
              </w:rPr>
              <w:br w:type="textWrapping"/>
            </w:r>
            <w:r>
              <w:rPr>
                <w:color w:val="auto"/>
              </w:rPr>
              <w:t>2)</w:t>
            </w:r>
            <w:r>
              <w:rPr>
                <w:rFonts w:hint="eastAsia" w:cs="宋体"/>
                <w:color w:val="auto"/>
              </w:rPr>
              <w:t>通信接口：标配：</w:t>
            </w:r>
            <w:r>
              <w:rPr>
                <w:color w:val="auto"/>
              </w:rPr>
              <w:t>RS232</w:t>
            </w:r>
            <w:r>
              <w:rPr>
                <w:rFonts w:hint="eastAsia" w:cs="宋体"/>
                <w:color w:val="auto"/>
              </w:rPr>
              <w:t>；</w:t>
            </w:r>
            <w:r>
              <w:rPr>
                <w:color w:val="auto"/>
              </w:rPr>
              <w:br w:type="textWrapping"/>
            </w:r>
            <w:r>
              <w:rPr>
                <w:color w:val="auto"/>
              </w:rPr>
              <w:t>3)</w:t>
            </w:r>
            <w:r>
              <w:rPr>
                <w:rFonts w:hint="eastAsia" w:cs="宋体"/>
                <w:color w:val="auto"/>
              </w:rPr>
              <w:t>标配输入、旁路、输出、维修空开。</w:t>
            </w:r>
            <w:r>
              <w:rPr>
                <w:color w:val="auto"/>
              </w:rPr>
              <w:br w:type="textWrapping"/>
            </w:r>
            <w:r>
              <w:rPr>
                <w:color w:val="auto"/>
              </w:rPr>
              <w:t>4)</w:t>
            </w:r>
            <w:r>
              <w:rPr>
                <w:rFonts w:hint="eastAsia" w:cs="宋体"/>
                <w:color w:val="auto"/>
              </w:rPr>
              <w:t>显示：</w:t>
            </w:r>
            <w:r>
              <w:rPr>
                <w:color w:val="auto"/>
              </w:rPr>
              <w:t>LCD+LED</w:t>
            </w:r>
            <w:r>
              <w:rPr>
                <w:rFonts w:hint="eastAsia" w:cs="宋体"/>
                <w:color w:val="auto"/>
              </w:rPr>
              <w:t>，可实时显示</w:t>
            </w:r>
            <w:r>
              <w:rPr>
                <w:color w:val="auto"/>
              </w:rPr>
              <w:t>UPS</w:t>
            </w:r>
            <w:r>
              <w:rPr>
                <w:rFonts w:hint="eastAsia" w:cs="宋体"/>
                <w:color w:val="auto"/>
              </w:rPr>
              <w:t>的工作参数，包括输入、输出电压、频率、负载功率（视在功率和有功功率）、电池电压、容量、温度等参数，各种运行状态，故障报警信息的定位及历史记录等；</w:t>
            </w:r>
            <w:r>
              <w:rPr>
                <w:color w:val="auto"/>
              </w:rPr>
              <w:br w:type="textWrapping"/>
            </w:r>
            <w:r>
              <w:rPr>
                <w:color w:val="auto"/>
              </w:rPr>
              <w:t>5.</w:t>
            </w:r>
            <w:r>
              <w:rPr>
                <w:rFonts w:hint="eastAsia" w:cs="宋体"/>
                <w:color w:val="auto"/>
              </w:rPr>
              <w:t>含相关配套辅材。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r>
      <w:tr>
        <w:tblPrEx>
          <w:tblCellMar>
            <w:top w:w="0" w:type="dxa"/>
            <w:left w:w="108" w:type="dxa"/>
            <w:bottom w:w="0" w:type="dxa"/>
            <w:right w:w="108" w:type="dxa"/>
          </w:tblCellMar>
        </w:tblPrEx>
        <w:trPr>
          <w:trHeight w:val="4964"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22</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蓄电池</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ascii="宋体" w:cs="宋体"/>
                <w:color w:val="auto"/>
                <w:sz w:val="20"/>
                <w:szCs w:val="20"/>
              </w:rPr>
              <w:t>.</w:t>
            </w:r>
            <w:r>
              <w:rPr>
                <w:rFonts w:hint="eastAsia" w:ascii="宋体" w:hAnsi="宋体" w:cs="宋体"/>
                <w:color w:val="auto"/>
                <w:sz w:val="20"/>
                <w:szCs w:val="20"/>
              </w:rPr>
              <w:t>蓄电池采用</w:t>
            </w:r>
            <w:r>
              <w:rPr>
                <w:rFonts w:ascii="宋体" w:hAnsi="宋体" w:cs="宋体"/>
                <w:color w:val="auto"/>
                <w:sz w:val="20"/>
                <w:szCs w:val="20"/>
              </w:rPr>
              <w:t>12V100AH</w:t>
            </w:r>
            <w:r>
              <w:rPr>
                <w:rFonts w:hint="eastAsia" w:ascii="宋体" w:hAnsi="宋体" w:cs="宋体"/>
                <w:color w:val="auto"/>
                <w:sz w:val="20"/>
                <w:szCs w:val="20"/>
              </w:rPr>
              <w:t>系列阀控式密封铅酸蓄电池；</w:t>
            </w:r>
            <w:r>
              <w:rPr>
                <w:rFonts w:ascii="宋体"/>
                <w:color w:val="auto"/>
                <w:sz w:val="20"/>
                <w:szCs w:val="20"/>
              </w:rPr>
              <w:br w:type="textWrapping"/>
            </w:r>
            <w:r>
              <w:rPr>
                <w:rFonts w:ascii="宋体" w:hAnsi="宋体" w:cs="宋体"/>
                <w:color w:val="auto"/>
                <w:sz w:val="20"/>
                <w:szCs w:val="20"/>
              </w:rPr>
              <w:t>2</w:t>
            </w:r>
            <w:r>
              <w:rPr>
                <w:rFonts w:ascii="宋体" w:cs="宋体"/>
                <w:color w:val="auto"/>
                <w:sz w:val="20"/>
                <w:szCs w:val="20"/>
              </w:rPr>
              <w:t>.</w:t>
            </w:r>
            <w:r>
              <w:rPr>
                <w:rFonts w:hint="eastAsia" w:ascii="宋体" w:hAnsi="宋体" w:cs="宋体"/>
                <w:color w:val="auto"/>
                <w:sz w:val="20"/>
                <w:szCs w:val="20"/>
              </w:rPr>
              <w:t>大电流放电：蓄电池以</w:t>
            </w:r>
            <w:r>
              <w:rPr>
                <w:rFonts w:ascii="宋体" w:hAnsi="宋体" w:cs="宋体"/>
                <w:color w:val="auto"/>
                <w:sz w:val="20"/>
                <w:szCs w:val="20"/>
              </w:rPr>
              <w:t xml:space="preserve"> 30I10</w:t>
            </w:r>
            <w:r>
              <w:rPr>
                <w:rFonts w:hint="eastAsia" w:ascii="宋体" w:hAnsi="宋体" w:cs="宋体"/>
                <w:color w:val="auto"/>
                <w:sz w:val="20"/>
                <w:szCs w:val="20"/>
              </w:rPr>
              <w:t>（</w:t>
            </w:r>
            <w:r>
              <w:rPr>
                <w:rFonts w:ascii="宋体" w:hAnsi="宋体" w:cs="宋体"/>
                <w:color w:val="auto"/>
                <w:sz w:val="20"/>
                <w:szCs w:val="20"/>
              </w:rPr>
              <w:t>A</w:t>
            </w:r>
            <w:r>
              <w:rPr>
                <w:rFonts w:hint="eastAsia" w:ascii="宋体" w:hAnsi="宋体" w:cs="宋体"/>
                <w:color w:val="auto"/>
                <w:sz w:val="20"/>
                <w:szCs w:val="20"/>
              </w:rPr>
              <w:t>）放电</w:t>
            </w:r>
            <w:r>
              <w:rPr>
                <w:rFonts w:ascii="宋体" w:hAnsi="宋体" w:cs="宋体"/>
                <w:color w:val="auto"/>
                <w:sz w:val="20"/>
                <w:szCs w:val="20"/>
              </w:rPr>
              <w:t xml:space="preserve"> 3min</w:t>
            </w:r>
            <w:r>
              <w:rPr>
                <w:rFonts w:hint="eastAsia" w:ascii="宋体" w:hAnsi="宋体" w:cs="宋体"/>
                <w:color w:val="auto"/>
                <w:sz w:val="20"/>
                <w:szCs w:val="20"/>
              </w:rPr>
              <w:t>，极柱应不熔断、</w:t>
            </w:r>
            <w:r>
              <w:rPr>
                <w:rFonts w:ascii="宋体" w:hAnsi="宋体" w:cs="宋体"/>
                <w:color w:val="auto"/>
                <w:sz w:val="20"/>
                <w:szCs w:val="20"/>
              </w:rPr>
              <w:t xml:space="preserve"> </w:t>
            </w:r>
            <w:r>
              <w:rPr>
                <w:rFonts w:hint="eastAsia" w:ascii="宋体" w:hAnsi="宋体" w:cs="宋体"/>
                <w:color w:val="auto"/>
                <w:sz w:val="20"/>
                <w:szCs w:val="20"/>
              </w:rPr>
              <w:t>内部汇流排应不熔断，其外观不得出现异常。</w:t>
            </w:r>
            <w:r>
              <w:rPr>
                <w:rFonts w:ascii="宋体"/>
                <w:color w:val="auto"/>
                <w:sz w:val="20"/>
                <w:szCs w:val="20"/>
              </w:rPr>
              <w:br w:type="textWrapping"/>
            </w:r>
            <w:r>
              <w:rPr>
                <w:rFonts w:ascii="宋体" w:hAnsi="宋体" w:cs="宋体"/>
                <w:color w:val="auto"/>
                <w:sz w:val="20"/>
                <w:szCs w:val="20"/>
              </w:rPr>
              <w:t>3</w:t>
            </w:r>
            <w:r>
              <w:rPr>
                <w:rFonts w:ascii="宋体" w:cs="宋体"/>
                <w:color w:val="auto"/>
                <w:sz w:val="20"/>
                <w:szCs w:val="20"/>
              </w:rPr>
              <w:t>.</w:t>
            </w:r>
            <w:r>
              <w:rPr>
                <w:rFonts w:hint="eastAsia" w:ascii="宋体" w:hAnsi="宋体" w:cs="宋体"/>
                <w:color w:val="auto"/>
                <w:sz w:val="20"/>
                <w:szCs w:val="20"/>
              </w:rPr>
              <w:t>容量保存率：蓄电池静备</w:t>
            </w:r>
            <w:r>
              <w:rPr>
                <w:rFonts w:ascii="宋体" w:hAnsi="宋体" w:cs="宋体"/>
                <w:color w:val="auto"/>
                <w:sz w:val="20"/>
                <w:szCs w:val="20"/>
              </w:rPr>
              <w:t>28</w:t>
            </w:r>
            <w:r>
              <w:rPr>
                <w:rFonts w:hint="eastAsia" w:ascii="宋体" w:hAnsi="宋体" w:cs="宋体"/>
                <w:color w:val="auto"/>
                <w:sz w:val="20"/>
                <w:szCs w:val="20"/>
              </w:rPr>
              <w:t>天后，其容量保存率不低于</w:t>
            </w:r>
            <w:r>
              <w:rPr>
                <w:rFonts w:ascii="宋体" w:hAnsi="宋体" w:cs="宋体"/>
                <w:color w:val="auto"/>
                <w:sz w:val="20"/>
                <w:szCs w:val="20"/>
              </w:rPr>
              <w:t>96%</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4</w:t>
            </w:r>
            <w:r>
              <w:rPr>
                <w:rFonts w:ascii="宋体" w:cs="宋体"/>
                <w:color w:val="auto"/>
                <w:sz w:val="20"/>
                <w:szCs w:val="20"/>
              </w:rPr>
              <w:t>.</w:t>
            </w:r>
            <w:r>
              <w:rPr>
                <w:rFonts w:hint="eastAsia" w:ascii="宋体" w:hAnsi="宋体" w:cs="宋体"/>
                <w:color w:val="auto"/>
                <w:sz w:val="20"/>
                <w:szCs w:val="20"/>
              </w:rPr>
              <w:t>蓄电池在环境温度</w:t>
            </w:r>
            <w:r>
              <w:rPr>
                <w:rFonts w:ascii="宋体" w:hAnsi="宋体" w:cs="宋体"/>
                <w:color w:val="auto"/>
                <w:sz w:val="20"/>
                <w:szCs w:val="20"/>
              </w:rPr>
              <w:t xml:space="preserve"> 20</w:t>
            </w:r>
            <w:r>
              <w:rPr>
                <w:rFonts w:hint="eastAsia" w:ascii="宋体" w:hAnsi="宋体" w:cs="宋体"/>
                <w:color w:val="auto"/>
                <w:sz w:val="20"/>
                <w:szCs w:val="20"/>
              </w:rPr>
              <w:t>℃～</w:t>
            </w:r>
            <w:r>
              <w:rPr>
                <w:rFonts w:ascii="宋体" w:hAnsi="宋体" w:cs="宋体"/>
                <w:color w:val="auto"/>
                <w:sz w:val="20"/>
                <w:szCs w:val="20"/>
              </w:rPr>
              <w:t>25</w:t>
            </w:r>
            <w:r>
              <w:rPr>
                <w:rFonts w:hint="eastAsia" w:ascii="宋体" w:hAnsi="宋体" w:cs="宋体"/>
                <w:color w:val="auto"/>
                <w:sz w:val="20"/>
                <w:szCs w:val="20"/>
              </w:rPr>
              <w:t>℃时的浮充运行设计寿命不低于</w:t>
            </w:r>
            <w:r>
              <w:rPr>
                <w:rFonts w:ascii="宋体" w:hAnsi="宋体" w:cs="宋体"/>
                <w:color w:val="auto"/>
                <w:sz w:val="20"/>
                <w:szCs w:val="20"/>
              </w:rPr>
              <w:t>5</w:t>
            </w:r>
            <w:r>
              <w:rPr>
                <w:rFonts w:hint="eastAsia" w:ascii="宋体" w:hAnsi="宋体" w:cs="宋体"/>
                <w:color w:val="auto"/>
                <w:sz w:val="20"/>
                <w:szCs w:val="20"/>
              </w:rPr>
              <w:t>年。</w:t>
            </w:r>
            <w:r>
              <w:rPr>
                <w:rFonts w:ascii="宋体"/>
                <w:color w:val="auto"/>
                <w:sz w:val="20"/>
                <w:szCs w:val="20"/>
              </w:rPr>
              <w:br w:type="textWrapping"/>
            </w:r>
            <w:r>
              <w:rPr>
                <w:rFonts w:ascii="宋体" w:hAnsi="宋体" w:cs="宋体"/>
                <w:color w:val="auto"/>
                <w:sz w:val="20"/>
                <w:szCs w:val="20"/>
              </w:rPr>
              <w:t>5</w:t>
            </w:r>
            <w:r>
              <w:rPr>
                <w:rFonts w:ascii="宋体" w:cs="宋体"/>
                <w:color w:val="auto"/>
                <w:sz w:val="20"/>
                <w:szCs w:val="20"/>
              </w:rPr>
              <w:t>.</w:t>
            </w:r>
            <w:r>
              <w:rPr>
                <w:rFonts w:hint="eastAsia" w:ascii="宋体" w:hAnsi="宋体" w:cs="宋体"/>
                <w:color w:val="auto"/>
                <w:sz w:val="20"/>
                <w:szCs w:val="20"/>
              </w:rPr>
              <w:t>电池间连接电压降</w:t>
            </w:r>
            <w:r>
              <w:rPr>
                <w:rFonts w:ascii="宋体" w:hAnsi="宋体" w:cs="宋体"/>
                <w:color w:val="auto"/>
                <w:sz w:val="20"/>
                <w:szCs w:val="20"/>
              </w:rPr>
              <w:t>:</w:t>
            </w:r>
            <w:r>
              <w:rPr>
                <w:rFonts w:hint="eastAsia" w:ascii="宋体" w:hAnsi="宋体" w:cs="宋体"/>
                <w:color w:val="auto"/>
                <w:sz w:val="20"/>
                <w:szCs w:val="20"/>
              </w:rPr>
              <w:t>蓄电池之间的连接电压降应不大于</w:t>
            </w:r>
            <w:r>
              <w:rPr>
                <w:rFonts w:ascii="宋体" w:hAnsi="宋体" w:cs="宋体"/>
                <w:color w:val="auto"/>
                <w:sz w:val="20"/>
                <w:szCs w:val="20"/>
              </w:rPr>
              <w:t>7mV</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6</w:t>
            </w:r>
            <w:r>
              <w:rPr>
                <w:rFonts w:ascii="宋体" w:cs="宋体"/>
                <w:color w:val="auto"/>
                <w:sz w:val="20"/>
                <w:szCs w:val="20"/>
              </w:rPr>
              <w:t>.</w:t>
            </w:r>
            <w:r>
              <w:rPr>
                <w:rFonts w:hint="eastAsia" w:ascii="宋体" w:hAnsi="宋体" w:cs="宋体"/>
                <w:color w:val="auto"/>
                <w:sz w:val="20"/>
                <w:szCs w:val="20"/>
              </w:rPr>
              <w:t>防爆性能：蓄电池在充电过程中遇到明火，内部应不引燃、不引爆。</w:t>
            </w:r>
            <w:r>
              <w:rPr>
                <w:rFonts w:ascii="宋体"/>
                <w:color w:val="auto"/>
                <w:sz w:val="20"/>
                <w:szCs w:val="20"/>
              </w:rPr>
              <w:br w:type="textWrapping"/>
            </w:r>
            <w:r>
              <w:rPr>
                <w:rFonts w:ascii="宋体" w:hAnsi="宋体" w:cs="宋体"/>
                <w:color w:val="auto"/>
                <w:sz w:val="20"/>
                <w:szCs w:val="20"/>
              </w:rPr>
              <w:t>7</w:t>
            </w:r>
            <w:r>
              <w:rPr>
                <w:rFonts w:ascii="宋体" w:cs="宋体"/>
                <w:color w:val="auto"/>
                <w:sz w:val="20"/>
                <w:szCs w:val="20"/>
              </w:rPr>
              <w:t>.</w:t>
            </w:r>
            <w:r>
              <w:rPr>
                <w:rFonts w:hint="eastAsia" w:ascii="宋体" w:hAnsi="宋体" w:cs="宋体"/>
                <w:color w:val="auto"/>
                <w:sz w:val="20"/>
                <w:szCs w:val="20"/>
              </w:rPr>
              <w:t>封口剂性能：蓄电池在</w:t>
            </w:r>
            <w:r>
              <w:rPr>
                <w:rFonts w:ascii="宋体" w:hAnsi="宋体" w:cs="宋体"/>
                <w:color w:val="auto"/>
                <w:sz w:val="20"/>
                <w:szCs w:val="20"/>
              </w:rPr>
              <w:t>-30</w:t>
            </w:r>
            <w:r>
              <w:rPr>
                <w:rFonts w:hint="eastAsia" w:ascii="宋体" w:hAnsi="宋体" w:cs="宋体"/>
                <w:color w:val="auto"/>
                <w:sz w:val="20"/>
                <w:szCs w:val="20"/>
              </w:rPr>
              <w:t>℃～＋</w:t>
            </w:r>
            <w:r>
              <w:rPr>
                <w:rFonts w:ascii="宋体" w:hAnsi="宋体" w:cs="宋体"/>
                <w:color w:val="auto"/>
                <w:sz w:val="20"/>
                <w:szCs w:val="20"/>
              </w:rPr>
              <w:t>65</w:t>
            </w:r>
            <w:r>
              <w:rPr>
                <w:rFonts w:hint="eastAsia" w:ascii="宋体" w:hAnsi="宋体" w:cs="宋体"/>
                <w:color w:val="auto"/>
                <w:sz w:val="20"/>
                <w:szCs w:val="20"/>
              </w:rPr>
              <w:t>℃时，封口剂应无裂纹及溢流现象。</w:t>
            </w:r>
            <w:r>
              <w:rPr>
                <w:rFonts w:ascii="宋体"/>
                <w:color w:val="auto"/>
                <w:sz w:val="20"/>
                <w:szCs w:val="20"/>
              </w:rPr>
              <w:br w:type="textWrapping"/>
            </w:r>
            <w:r>
              <w:rPr>
                <w:rFonts w:ascii="宋体" w:hAnsi="宋体" w:cs="宋体"/>
                <w:color w:val="auto"/>
                <w:sz w:val="20"/>
                <w:szCs w:val="20"/>
              </w:rPr>
              <w:t>8.</w:t>
            </w:r>
            <w:r>
              <w:rPr>
                <w:rFonts w:hint="eastAsia" w:ascii="宋体" w:hAnsi="宋体" w:cs="宋体"/>
                <w:color w:val="auto"/>
                <w:sz w:val="20"/>
                <w:szCs w:val="20"/>
              </w:rPr>
              <w:t>容量一致性：≤</w:t>
            </w:r>
            <w:r>
              <w:rPr>
                <w:rFonts w:ascii="宋体" w:hAnsi="宋体" w:cs="宋体"/>
                <w:color w:val="auto"/>
                <w:sz w:val="20"/>
                <w:szCs w:val="20"/>
              </w:rPr>
              <w:t>5%</w:t>
            </w:r>
            <w:r>
              <w:rPr>
                <w:rFonts w:hint="eastAsia" w:ascii="宋体" w:hAnsi="宋体" w:cs="宋体"/>
                <w:color w:val="auto"/>
                <w:sz w:val="20"/>
                <w:szCs w:val="20"/>
              </w:rPr>
              <w:t>。</w:t>
            </w:r>
          </w:p>
          <w:p>
            <w:pPr>
              <w:pStyle w:val="2"/>
              <w:ind w:left="0"/>
              <w:rPr>
                <w:color w:val="auto"/>
              </w:rPr>
            </w:pPr>
            <w:r>
              <w:rPr>
                <w:color w:val="auto"/>
              </w:rPr>
              <w:t>9.</w:t>
            </w:r>
            <w:r>
              <w:rPr>
                <w:rFonts w:hint="eastAsia" w:cs="宋体"/>
                <w:color w:val="auto"/>
              </w:rPr>
              <w:t>与</w:t>
            </w:r>
            <w:r>
              <w:rPr>
                <w:color w:val="auto"/>
              </w:rPr>
              <w:t>UPS</w:t>
            </w:r>
            <w:r>
              <w:rPr>
                <w:rFonts w:hint="eastAsia" w:cs="宋体"/>
                <w:color w:val="auto"/>
              </w:rPr>
              <w:t>主机同一品牌</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节</w:t>
            </w:r>
          </w:p>
        </w:tc>
        <w:tc>
          <w:tcPr>
            <w:tcW w:w="37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96</w:t>
            </w: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23</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电池柜</w:t>
            </w:r>
          </w:p>
        </w:tc>
        <w:tc>
          <w:tcPr>
            <w:tcW w:w="2001"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olor w:val="auto"/>
                <w:sz w:val="20"/>
                <w:szCs w:val="20"/>
              </w:rPr>
            </w:pPr>
            <w:r>
              <w:rPr>
                <w:rFonts w:hint="eastAsia" w:ascii="宋体" w:hAnsi="宋体" w:cs="宋体"/>
                <w:color w:val="auto"/>
                <w:sz w:val="20"/>
                <w:szCs w:val="20"/>
              </w:rPr>
              <w:t>含电池间链接线，电池开关等</w:t>
            </w:r>
            <w:r>
              <w:rPr>
                <w:rFonts w:ascii="宋体" w:hAnsi="宋体" w:cs="宋体"/>
                <w:color w:val="auto"/>
                <w:sz w:val="20"/>
                <w:szCs w:val="20"/>
              </w:rPr>
              <w:t>(L780*W470*H1190mm)</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组</w:t>
            </w:r>
          </w:p>
        </w:tc>
        <w:tc>
          <w:tcPr>
            <w:tcW w:w="37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r>
      <w:tr>
        <w:tblPrEx>
          <w:tblCellMar>
            <w:top w:w="0" w:type="dxa"/>
            <w:left w:w="108" w:type="dxa"/>
            <w:bottom w:w="0" w:type="dxa"/>
            <w:right w:w="108" w:type="dxa"/>
          </w:tblCellMar>
        </w:tblPrEx>
        <w:trPr>
          <w:trHeight w:val="288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12</w:t>
            </w:r>
            <w:r>
              <w:rPr>
                <w:rFonts w:hint="eastAsia" w:ascii="宋体" w:hAnsi="宋体" w:cs="宋体"/>
                <w:color w:val="auto"/>
                <w:sz w:val="20"/>
                <w:szCs w:val="20"/>
              </w:rPr>
              <w:t>路调音台</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ascii="宋体" w:cs="宋体"/>
                <w:color w:val="auto"/>
                <w:sz w:val="20"/>
                <w:szCs w:val="20"/>
              </w:rPr>
              <w:t>.</w:t>
            </w:r>
            <w:r>
              <w:rPr>
                <w:rFonts w:hint="eastAsia" w:ascii="宋体" w:hAnsi="宋体" w:cs="宋体"/>
                <w:color w:val="auto"/>
                <w:sz w:val="20"/>
                <w:szCs w:val="20"/>
              </w:rPr>
              <w:t>输入通道：不低于</w:t>
            </w:r>
            <w:r>
              <w:rPr>
                <w:rFonts w:ascii="宋体" w:hAnsi="宋体" w:cs="宋体"/>
                <w:color w:val="auto"/>
                <w:sz w:val="20"/>
                <w:szCs w:val="20"/>
              </w:rPr>
              <w:t>12</w:t>
            </w:r>
            <w:r>
              <w:rPr>
                <w:rFonts w:hint="eastAsia" w:ascii="宋体" w:hAnsi="宋体" w:cs="宋体"/>
                <w:color w:val="auto"/>
                <w:sz w:val="20"/>
                <w:szCs w:val="20"/>
              </w:rPr>
              <w:t>通道：单声道：≥</w:t>
            </w:r>
            <w:r>
              <w:rPr>
                <w:rFonts w:ascii="宋体" w:hAnsi="宋体" w:cs="宋体"/>
                <w:color w:val="auto"/>
                <w:sz w:val="20"/>
                <w:szCs w:val="20"/>
              </w:rPr>
              <w:t>4</w:t>
            </w:r>
            <w:r>
              <w:rPr>
                <w:rFonts w:hint="eastAsia" w:ascii="宋体" w:hAnsi="宋体" w:cs="宋体"/>
                <w:color w:val="auto"/>
                <w:sz w:val="20"/>
                <w:szCs w:val="20"/>
              </w:rPr>
              <w:t>；立体声：≥</w:t>
            </w:r>
            <w:r>
              <w:rPr>
                <w:rFonts w:ascii="宋体" w:hAnsi="宋体" w:cs="宋体"/>
                <w:color w:val="auto"/>
                <w:sz w:val="20"/>
                <w:szCs w:val="20"/>
              </w:rPr>
              <w:t>4</w:t>
            </w:r>
            <w:r>
              <w:rPr>
                <w:rFonts w:ascii="宋体" w:hAnsi="宋体" w:cs="宋体"/>
                <w:color w:val="auto"/>
                <w:sz w:val="20"/>
                <w:szCs w:val="20"/>
              </w:rPr>
              <w:br w:type="textWrapping"/>
            </w:r>
            <w:r>
              <w:rPr>
                <w:rFonts w:ascii="宋体" w:hAnsi="宋体" w:cs="宋体"/>
                <w:color w:val="auto"/>
                <w:sz w:val="20"/>
                <w:szCs w:val="20"/>
              </w:rPr>
              <w:t>2</w:t>
            </w:r>
            <w:r>
              <w:rPr>
                <w:rFonts w:ascii="宋体" w:cs="宋体"/>
                <w:color w:val="auto"/>
                <w:sz w:val="20"/>
                <w:szCs w:val="20"/>
              </w:rPr>
              <w:t>.</w:t>
            </w:r>
            <w:r>
              <w:rPr>
                <w:rFonts w:hint="eastAsia" w:ascii="宋体" w:hAnsi="宋体" w:cs="宋体"/>
                <w:color w:val="auto"/>
                <w:sz w:val="20"/>
                <w:szCs w:val="20"/>
              </w:rPr>
              <w:t>输出通道：</w:t>
            </w:r>
            <w:r>
              <w:rPr>
                <w:rFonts w:ascii="宋体" w:hAnsi="宋体" w:cs="宋体"/>
                <w:color w:val="auto"/>
                <w:sz w:val="20"/>
                <w:szCs w:val="20"/>
              </w:rPr>
              <w:t>STEREO OUT</w:t>
            </w:r>
            <w:r>
              <w:rPr>
                <w:rFonts w:hint="eastAsia" w:ascii="宋体" w:hAnsi="宋体" w:cs="宋体"/>
                <w:color w:val="auto"/>
                <w:sz w:val="20"/>
                <w:szCs w:val="20"/>
              </w:rPr>
              <w:t>：≥</w:t>
            </w:r>
            <w:r>
              <w:rPr>
                <w:rFonts w:ascii="宋体" w:hAnsi="宋体" w:cs="宋体"/>
                <w:color w:val="auto"/>
                <w:sz w:val="20"/>
                <w:szCs w:val="20"/>
              </w:rPr>
              <w:t>2</w:t>
            </w:r>
            <w:r>
              <w:rPr>
                <w:rFonts w:hint="eastAsia" w:ascii="宋体" w:hAnsi="宋体" w:cs="宋体"/>
                <w:color w:val="auto"/>
                <w:sz w:val="20"/>
                <w:szCs w:val="20"/>
              </w:rPr>
              <w:t>；</w:t>
            </w:r>
            <w:r>
              <w:rPr>
                <w:rFonts w:ascii="宋体" w:hAnsi="宋体" w:cs="宋体"/>
                <w:color w:val="auto"/>
                <w:sz w:val="20"/>
                <w:szCs w:val="20"/>
              </w:rPr>
              <w:t>PHONES</w:t>
            </w:r>
            <w:r>
              <w:rPr>
                <w:rFonts w:hint="eastAsia" w:ascii="宋体" w:hAnsi="宋体" w:cs="宋体"/>
                <w:color w:val="auto"/>
                <w:sz w:val="20"/>
                <w:szCs w:val="20"/>
              </w:rPr>
              <w:t>：</w:t>
            </w:r>
            <w:r>
              <w:rPr>
                <w:rFonts w:ascii="宋体" w:hAnsi="宋体" w:cs="宋体"/>
                <w:color w:val="auto"/>
                <w:sz w:val="20"/>
                <w:szCs w:val="20"/>
              </w:rPr>
              <w:t>1</w:t>
            </w:r>
            <w:r>
              <w:rPr>
                <w:rFonts w:ascii="宋体" w:hAnsi="宋体" w:cs="宋体"/>
                <w:color w:val="auto"/>
                <w:sz w:val="20"/>
                <w:szCs w:val="20"/>
              </w:rPr>
              <w:br w:type="textWrapping"/>
            </w:r>
            <w:r>
              <w:rPr>
                <w:rFonts w:ascii="宋体" w:hAnsi="宋体" w:cs="宋体"/>
                <w:color w:val="auto"/>
                <w:sz w:val="20"/>
                <w:szCs w:val="20"/>
              </w:rPr>
              <w:t>3</w:t>
            </w:r>
            <w:r>
              <w:rPr>
                <w:rFonts w:ascii="宋体" w:cs="宋体"/>
                <w:color w:val="auto"/>
                <w:sz w:val="20"/>
                <w:szCs w:val="20"/>
              </w:rPr>
              <w:t>.</w:t>
            </w:r>
            <w:r>
              <w:rPr>
                <w:rFonts w:hint="eastAsia" w:ascii="宋体" w:hAnsi="宋体" w:cs="宋体"/>
                <w:color w:val="auto"/>
                <w:sz w:val="20"/>
                <w:szCs w:val="20"/>
              </w:rPr>
              <w:t>母线：立体声：</w:t>
            </w:r>
            <w:r>
              <w:rPr>
                <w:rFonts w:ascii="宋体" w:hAnsi="宋体" w:cs="宋体"/>
                <w:color w:val="auto"/>
                <w:sz w:val="20"/>
                <w:szCs w:val="20"/>
              </w:rPr>
              <w:t>1</w:t>
            </w:r>
            <w:r>
              <w:rPr>
                <w:rFonts w:hint="eastAsia" w:ascii="宋体" w:hAnsi="宋体" w:cs="宋体"/>
                <w:color w:val="auto"/>
                <w:sz w:val="20"/>
                <w:szCs w:val="20"/>
              </w:rPr>
              <w:t>；编组</w:t>
            </w:r>
            <w:r>
              <w:rPr>
                <w:rFonts w:ascii="宋体" w:hAnsi="宋体" w:cs="宋体"/>
                <w:color w:val="auto"/>
                <w:sz w:val="20"/>
                <w:szCs w:val="20"/>
              </w:rPr>
              <w:t>:  2</w:t>
            </w:r>
            <w:r>
              <w:rPr>
                <w:rFonts w:hint="eastAsia" w:ascii="宋体" w:hAnsi="宋体" w:cs="宋体"/>
                <w:color w:val="auto"/>
                <w:sz w:val="20"/>
                <w:szCs w:val="20"/>
              </w:rPr>
              <w:t>，</w:t>
            </w:r>
            <w:r>
              <w:rPr>
                <w:rFonts w:ascii="宋体" w:hAnsi="宋体" w:cs="宋体"/>
                <w:color w:val="auto"/>
                <w:sz w:val="20"/>
                <w:szCs w:val="20"/>
              </w:rPr>
              <w:t>AUX</w:t>
            </w:r>
            <w:r>
              <w:rPr>
                <w:rFonts w:hint="eastAsia" w:ascii="宋体" w:hAnsi="宋体" w:cs="宋体"/>
                <w:color w:val="auto"/>
                <w:sz w:val="20"/>
                <w:szCs w:val="20"/>
              </w:rPr>
              <w:t>（包括</w:t>
            </w:r>
            <w:r>
              <w:rPr>
                <w:rFonts w:ascii="宋体" w:hAnsi="宋体" w:cs="宋体"/>
                <w:color w:val="auto"/>
                <w:sz w:val="20"/>
                <w:szCs w:val="20"/>
              </w:rPr>
              <w:t>FX</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4.USB</w:t>
            </w:r>
            <w:r>
              <w:rPr>
                <w:rFonts w:hint="eastAsia" w:ascii="宋体" w:hAnsi="宋体" w:cs="宋体"/>
                <w:color w:val="auto"/>
                <w:sz w:val="20"/>
                <w:szCs w:val="20"/>
              </w:rPr>
              <w:t>音频：</w:t>
            </w:r>
            <w:r>
              <w:rPr>
                <w:rFonts w:ascii="宋体" w:hAnsi="宋体" w:cs="宋体"/>
                <w:color w:val="auto"/>
                <w:sz w:val="20"/>
                <w:szCs w:val="20"/>
              </w:rPr>
              <w:t>USB</w:t>
            </w:r>
            <w:r>
              <w:rPr>
                <w:rFonts w:hint="eastAsia" w:ascii="宋体" w:hAnsi="宋体" w:cs="宋体"/>
                <w:color w:val="auto"/>
                <w:sz w:val="20"/>
                <w:szCs w:val="20"/>
              </w:rPr>
              <w:t>音频</w:t>
            </w:r>
            <w:r>
              <w:rPr>
                <w:rFonts w:ascii="宋体" w:hAnsi="宋体" w:cs="宋体"/>
                <w:color w:val="auto"/>
                <w:sz w:val="20"/>
                <w:szCs w:val="20"/>
              </w:rPr>
              <w:t>2.0</w:t>
            </w:r>
            <w:r>
              <w:rPr>
                <w:rFonts w:hint="eastAsia" w:ascii="宋体" w:hAnsi="宋体" w:cs="宋体"/>
                <w:color w:val="auto"/>
                <w:sz w:val="20"/>
                <w:szCs w:val="20"/>
              </w:rPr>
              <w:t>兼容</w:t>
            </w:r>
            <w:r>
              <w:rPr>
                <w:rFonts w:ascii="宋体" w:hAnsi="宋体" w:cs="宋体"/>
                <w:color w:val="auto"/>
                <w:sz w:val="20"/>
                <w:szCs w:val="20"/>
              </w:rPr>
              <w:t xml:space="preserve"> </w:t>
            </w:r>
            <w:r>
              <w:rPr>
                <w:rFonts w:hint="eastAsia" w:ascii="宋体" w:hAnsi="宋体" w:cs="宋体"/>
                <w:color w:val="auto"/>
                <w:sz w:val="20"/>
                <w:szCs w:val="20"/>
              </w:rPr>
              <w:t>采样率：最大</w:t>
            </w:r>
            <w:r>
              <w:rPr>
                <w:rFonts w:ascii="宋体" w:hAnsi="宋体" w:cs="宋体"/>
                <w:color w:val="auto"/>
                <w:sz w:val="20"/>
                <w:szCs w:val="20"/>
              </w:rPr>
              <w:t>192kHz</w:t>
            </w:r>
            <w:r>
              <w:rPr>
                <w:rFonts w:hint="eastAsia" w:ascii="宋体" w:hAnsi="宋体" w:cs="宋体"/>
                <w:color w:val="auto"/>
                <w:sz w:val="20"/>
                <w:szCs w:val="20"/>
              </w:rPr>
              <w:t>，</w:t>
            </w:r>
            <w:r>
              <w:rPr>
                <w:rFonts w:ascii="宋体" w:hAnsi="宋体" w:cs="宋体"/>
                <w:color w:val="auto"/>
                <w:sz w:val="20"/>
                <w:szCs w:val="20"/>
              </w:rPr>
              <w:t>Bit</w:t>
            </w:r>
            <w:r>
              <w:rPr>
                <w:rFonts w:hint="eastAsia" w:ascii="宋体" w:hAnsi="宋体" w:cs="宋体"/>
                <w:color w:val="auto"/>
                <w:sz w:val="20"/>
                <w:szCs w:val="20"/>
              </w:rPr>
              <w:t>：</w:t>
            </w:r>
            <w:r>
              <w:rPr>
                <w:rFonts w:ascii="宋体" w:hAnsi="宋体" w:cs="宋体"/>
                <w:color w:val="auto"/>
                <w:sz w:val="20"/>
                <w:szCs w:val="20"/>
              </w:rPr>
              <w:t>24-bit</w:t>
            </w:r>
            <w:r>
              <w:rPr>
                <w:rFonts w:ascii="宋体" w:hAnsi="宋体" w:cs="宋体"/>
                <w:color w:val="auto"/>
                <w:sz w:val="20"/>
                <w:szCs w:val="20"/>
              </w:rPr>
              <w:br w:type="textWrapping"/>
            </w:r>
            <w:r>
              <w:rPr>
                <w:rFonts w:ascii="宋体" w:hAnsi="宋体" w:cs="宋体"/>
                <w:color w:val="auto"/>
                <w:sz w:val="20"/>
                <w:szCs w:val="20"/>
              </w:rPr>
              <w:t>5</w:t>
            </w:r>
            <w:r>
              <w:rPr>
                <w:rFonts w:ascii="宋体" w:cs="宋体"/>
                <w:color w:val="auto"/>
                <w:sz w:val="20"/>
                <w:szCs w:val="20"/>
              </w:rPr>
              <w:t>.</w:t>
            </w:r>
            <w:r>
              <w:rPr>
                <w:rFonts w:hint="eastAsia" w:ascii="宋体" w:hAnsi="宋体" w:cs="宋体"/>
                <w:color w:val="auto"/>
                <w:sz w:val="20"/>
                <w:szCs w:val="20"/>
              </w:rPr>
              <w:t>幻象电源电压：</w:t>
            </w:r>
            <w:r>
              <w:rPr>
                <w:rFonts w:ascii="宋体" w:hAnsi="宋体" w:cs="宋体"/>
                <w:color w:val="auto"/>
                <w:sz w:val="20"/>
                <w:szCs w:val="20"/>
              </w:rPr>
              <w:t>+48V</w:t>
            </w:r>
            <w:r>
              <w:rPr>
                <w:rFonts w:ascii="宋体" w:hAnsi="宋体" w:cs="宋体"/>
                <w:color w:val="auto"/>
                <w:sz w:val="20"/>
                <w:szCs w:val="20"/>
              </w:rPr>
              <w:br w:type="textWrapping"/>
            </w:r>
            <w:r>
              <w:rPr>
                <w:rFonts w:ascii="宋体" w:hAnsi="宋体" w:cs="宋体"/>
                <w:color w:val="auto"/>
                <w:sz w:val="20"/>
                <w:szCs w:val="20"/>
              </w:rPr>
              <w:t>6.</w:t>
            </w:r>
            <w:r>
              <w:rPr>
                <w:rFonts w:hint="eastAsia" w:ascii="宋体" w:hAnsi="宋体" w:cs="宋体"/>
                <w:color w:val="auto"/>
                <w:sz w:val="20"/>
                <w:szCs w:val="20"/>
              </w:rPr>
              <w:t>内建数字效果：</w:t>
            </w:r>
            <w:r>
              <w:rPr>
                <w:rFonts w:ascii="宋体" w:hAnsi="宋体" w:cs="宋体"/>
                <w:color w:val="auto"/>
                <w:sz w:val="20"/>
                <w:szCs w:val="20"/>
              </w:rPr>
              <w:t>24</w:t>
            </w:r>
            <w:r>
              <w:rPr>
                <w:rFonts w:hint="eastAsia" w:ascii="宋体" w:hAnsi="宋体" w:cs="宋体"/>
                <w:color w:val="auto"/>
                <w:sz w:val="20"/>
                <w:szCs w:val="20"/>
              </w:rPr>
              <w:t>编程</w:t>
            </w:r>
            <w:r>
              <w:rPr>
                <w:rFonts w:ascii="宋体"/>
                <w:color w:val="auto"/>
                <w:sz w:val="20"/>
                <w:szCs w:val="20"/>
              </w:rPr>
              <w:br w:type="textWrapping"/>
            </w:r>
            <w:r>
              <w:rPr>
                <w:rFonts w:ascii="宋体" w:hAnsi="宋体" w:cs="宋体"/>
                <w:color w:val="auto"/>
                <w:sz w:val="20"/>
                <w:szCs w:val="20"/>
              </w:rPr>
              <w:t>7</w:t>
            </w:r>
            <w:r>
              <w:rPr>
                <w:rFonts w:ascii="宋体" w:cs="宋体"/>
                <w:color w:val="auto"/>
                <w:sz w:val="20"/>
                <w:szCs w:val="20"/>
              </w:rPr>
              <w:t>.</w:t>
            </w:r>
            <w:r>
              <w:rPr>
                <w:rFonts w:hint="eastAsia" w:ascii="宋体" w:hAnsi="宋体" w:cs="宋体"/>
                <w:color w:val="auto"/>
                <w:sz w:val="20"/>
                <w:szCs w:val="20"/>
              </w:rPr>
              <w:t>频响：</w:t>
            </w:r>
            <w:r>
              <w:rPr>
                <w:rFonts w:ascii="宋体" w:hAnsi="宋体" w:cs="宋体"/>
                <w:color w:val="auto"/>
                <w:sz w:val="20"/>
                <w:szCs w:val="20"/>
              </w:rPr>
              <w:t>+0.5dB/-0.5dB</w:t>
            </w:r>
            <w:r>
              <w:rPr>
                <w:rFonts w:hint="eastAsia" w:ascii="宋体" w:hAnsi="宋体" w:cs="宋体"/>
                <w:color w:val="auto"/>
                <w:sz w:val="20"/>
                <w:szCs w:val="20"/>
              </w:rPr>
              <w:t>（</w:t>
            </w:r>
            <w:r>
              <w:rPr>
                <w:rFonts w:ascii="宋体" w:hAnsi="宋体" w:cs="宋体"/>
                <w:color w:val="auto"/>
                <w:sz w:val="20"/>
                <w:szCs w:val="20"/>
              </w:rPr>
              <w:t>20Hz-20kHz</w:t>
            </w:r>
            <w:r>
              <w:rPr>
                <w:rFonts w:hint="eastAsia" w:ascii="宋体" w:hAnsi="宋体" w:cs="宋体"/>
                <w:color w:val="auto"/>
                <w:sz w:val="20"/>
                <w:szCs w:val="20"/>
              </w:rPr>
              <w:t>）</w:t>
            </w:r>
            <w:r>
              <w:rPr>
                <w:rFonts w:ascii="宋体"/>
                <w:color w:val="auto"/>
                <w:sz w:val="20"/>
                <w:szCs w:val="20"/>
              </w:rPr>
              <w:br w:type="textWrapping"/>
            </w:r>
            <w:r>
              <w:rPr>
                <w:rFonts w:ascii="宋体" w:hAnsi="宋体" w:cs="宋体"/>
                <w:color w:val="auto"/>
                <w:sz w:val="20"/>
                <w:szCs w:val="20"/>
              </w:rPr>
              <w:t>8</w:t>
            </w:r>
            <w:r>
              <w:rPr>
                <w:rFonts w:ascii="宋体" w:cs="宋体"/>
                <w:color w:val="auto"/>
                <w:sz w:val="20"/>
                <w:szCs w:val="20"/>
              </w:rPr>
              <w:t>.</w:t>
            </w:r>
            <w:r>
              <w:rPr>
                <w:rFonts w:hint="eastAsia" w:ascii="宋体" w:hAnsi="宋体" w:cs="宋体"/>
                <w:color w:val="auto"/>
                <w:sz w:val="20"/>
                <w:szCs w:val="20"/>
              </w:rPr>
              <w:t>总谐波失真：</w:t>
            </w:r>
            <w:r>
              <w:rPr>
                <w:rFonts w:ascii="宋体" w:hAnsi="宋体" w:cs="宋体"/>
                <w:color w:val="auto"/>
                <w:sz w:val="20"/>
                <w:szCs w:val="20"/>
              </w:rPr>
              <w:t>0.03%@+14dBu</w:t>
            </w:r>
            <w:r>
              <w:rPr>
                <w:rFonts w:hint="eastAsia" w:ascii="宋体" w:hAnsi="宋体" w:cs="宋体"/>
                <w:color w:val="auto"/>
                <w:sz w:val="20"/>
                <w:szCs w:val="20"/>
              </w:rPr>
              <w:t>（</w:t>
            </w:r>
            <w:r>
              <w:rPr>
                <w:rFonts w:ascii="宋体" w:hAnsi="宋体" w:cs="宋体"/>
                <w:color w:val="auto"/>
                <w:sz w:val="20"/>
                <w:szCs w:val="20"/>
              </w:rPr>
              <w:t>20 Hz-20kHz</w:t>
            </w:r>
            <w:r>
              <w:rPr>
                <w:rFonts w:hint="eastAsia" w:ascii="宋体" w:hAnsi="宋体" w:cs="宋体"/>
                <w:color w:val="auto"/>
                <w:sz w:val="20"/>
                <w:szCs w:val="20"/>
              </w:rPr>
              <w:t>）</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144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有线话筒</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hint="eastAsia" w:ascii="宋体" w:hAnsi="宋体" w:cs="宋体"/>
                <w:color w:val="auto"/>
                <w:sz w:val="20"/>
                <w:szCs w:val="20"/>
              </w:rPr>
              <w:t>电容式</w:t>
            </w:r>
            <w:r>
              <w:rPr>
                <w:rFonts w:ascii="宋体"/>
                <w:color w:val="auto"/>
                <w:sz w:val="20"/>
                <w:szCs w:val="20"/>
              </w:rPr>
              <w:br w:type="textWrapping"/>
            </w:r>
            <w:r>
              <w:rPr>
                <w:rFonts w:ascii="宋体" w:hAnsi="宋体" w:cs="宋体"/>
                <w:color w:val="auto"/>
                <w:sz w:val="20"/>
                <w:szCs w:val="20"/>
              </w:rPr>
              <w:t xml:space="preserve"> </w:t>
            </w:r>
            <w:r>
              <w:rPr>
                <w:rFonts w:hint="eastAsia" w:ascii="宋体" w:hAnsi="宋体" w:cs="宋体"/>
                <w:color w:val="auto"/>
                <w:sz w:val="20"/>
                <w:szCs w:val="20"/>
              </w:rPr>
              <w:t>心型指向性</w:t>
            </w:r>
            <w:r>
              <w:rPr>
                <w:rFonts w:ascii="宋体"/>
                <w:color w:val="auto"/>
                <w:sz w:val="20"/>
                <w:szCs w:val="20"/>
              </w:rPr>
              <w:br w:type="textWrapping"/>
            </w:r>
            <w:r>
              <w:rPr>
                <w:rFonts w:hint="eastAsia" w:ascii="宋体" w:hAnsi="宋体" w:cs="宋体"/>
                <w:color w:val="auto"/>
                <w:sz w:val="20"/>
                <w:szCs w:val="20"/>
              </w:rPr>
              <w:t>灵敏度</w:t>
            </w:r>
            <w:r>
              <w:rPr>
                <w:rFonts w:ascii="宋体" w:hAnsi="宋体" w:cs="宋体"/>
                <w:color w:val="auto"/>
                <w:sz w:val="20"/>
                <w:szCs w:val="20"/>
              </w:rPr>
              <w:t xml:space="preserve"> -38dB</w:t>
            </w:r>
            <w:r>
              <w:rPr>
                <w:rFonts w:hint="eastAsia" w:ascii="宋体" w:hAnsi="宋体" w:cs="宋体"/>
                <w:color w:val="auto"/>
                <w:sz w:val="20"/>
                <w:szCs w:val="20"/>
              </w:rPr>
              <w:t>±</w:t>
            </w:r>
            <w:r>
              <w:rPr>
                <w:rFonts w:ascii="宋体" w:hAnsi="宋体" w:cs="宋体"/>
                <w:color w:val="auto"/>
                <w:sz w:val="20"/>
                <w:szCs w:val="20"/>
              </w:rPr>
              <w:t>2dB</w:t>
            </w:r>
            <w:r>
              <w:rPr>
                <w:rFonts w:ascii="宋体" w:hAnsi="宋体" w:cs="宋体"/>
                <w:color w:val="auto"/>
                <w:sz w:val="20"/>
                <w:szCs w:val="20"/>
              </w:rPr>
              <w:br w:type="textWrapping"/>
            </w:r>
            <w:r>
              <w:rPr>
                <w:rFonts w:hint="eastAsia" w:ascii="宋体" w:hAnsi="宋体" w:cs="宋体"/>
                <w:color w:val="auto"/>
                <w:sz w:val="20"/>
                <w:szCs w:val="20"/>
              </w:rPr>
              <w:t>频率响应</w:t>
            </w:r>
            <w:r>
              <w:rPr>
                <w:rFonts w:ascii="宋体" w:hAnsi="宋体" w:cs="宋体"/>
                <w:color w:val="auto"/>
                <w:sz w:val="20"/>
                <w:szCs w:val="20"/>
              </w:rPr>
              <w:t xml:space="preserve"> 40Hz~16000Hz </w:t>
            </w:r>
            <w:r>
              <w:rPr>
                <w:rFonts w:hint="eastAsia" w:ascii="宋体" w:hAnsi="宋体" w:cs="宋体"/>
                <w:color w:val="auto"/>
                <w:sz w:val="20"/>
                <w:szCs w:val="20"/>
              </w:rPr>
              <w:t>±</w:t>
            </w:r>
            <w:r>
              <w:rPr>
                <w:rFonts w:ascii="宋体" w:hAnsi="宋体" w:cs="宋体"/>
                <w:color w:val="auto"/>
                <w:sz w:val="20"/>
                <w:szCs w:val="20"/>
              </w:rPr>
              <w:t>0.5dB</w:t>
            </w:r>
            <w:r>
              <w:rPr>
                <w:rFonts w:ascii="宋体" w:hAnsi="宋体" w:cs="宋体"/>
                <w:color w:val="auto"/>
                <w:sz w:val="20"/>
                <w:szCs w:val="20"/>
              </w:rPr>
              <w:br w:type="textWrapping"/>
            </w:r>
            <w:r>
              <w:rPr>
                <w:rFonts w:hint="eastAsia" w:ascii="宋体" w:hAnsi="宋体" w:cs="宋体"/>
                <w:color w:val="auto"/>
                <w:sz w:val="20"/>
                <w:szCs w:val="20"/>
              </w:rPr>
              <w:t>输出阻抗</w:t>
            </w:r>
            <w:r>
              <w:rPr>
                <w:rFonts w:ascii="宋体" w:hAnsi="宋体" w:cs="宋体"/>
                <w:color w:val="auto"/>
                <w:sz w:val="20"/>
                <w:szCs w:val="20"/>
              </w:rPr>
              <w:t xml:space="preserve"> 1K</w:t>
            </w:r>
            <w:r>
              <w:rPr>
                <w:rFonts w:hint="eastAsia" w:ascii="宋体" w:hAnsi="宋体" w:cs="宋体"/>
                <w:color w:val="auto"/>
                <w:sz w:val="20"/>
                <w:szCs w:val="20"/>
              </w:rPr>
              <w:t>Ω</w:t>
            </w:r>
            <w:r>
              <w:rPr>
                <w:rFonts w:ascii="宋体"/>
                <w:color w:val="auto"/>
                <w:sz w:val="20"/>
                <w:szCs w:val="20"/>
              </w:rPr>
              <w:br w:type="textWrapping"/>
            </w:r>
            <w:r>
              <w:rPr>
                <w:rFonts w:hint="eastAsia" w:ascii="宋体" w:hAnsi="宋体" w:cs="宋体"/>
                <w:color w:val="auto"/>
                <w:sz w:val="20"/>
                <w:szCs w:val="20"/>
              </w:rPr>
              <w:t>拾音距离</w:t>
            </w:r>
            <w:r>
              <w:rPr>
                <w:rFonts w:ascii="宋体" w:hAnsi="宋体" w:cs="宋体"/>
                <w:color w:val="auto"/>
                <w:sz w:val="20"/>
                <w:szCs w:val="20"/>
              </w:rPr>
              <w:t xml:space="preserve"> 30~70cm</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w:t>
            </w:r>
          </w:p>
        </w:tc>
      </w:tr>
      <w:tr>
        <w:tblPrEx>
          <w:tblCellMar>
            <w:top w:w="0" w:type="dxa"/>
            <w:left w:w="108" w:type="dxa"/>
            <w:bottom w:w="0" w:type="dxa"/>
            <w:right w:w="108" w:type="dxa"/>
          </w:tblCellMar>
        </w:tblPrEx>
        <w:trPr>
          <w:trHeight w:val="48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24</w:t>
            </w:r>
            <w:r>
              <w:rPr>
                <w:rFonts w:hint="eastAsia" w:ascii="宋体" w:hAnsi="宋体" w:cs="宋体"/>
                <w:color w:val="auto"/>
                <w:sz w:val="20"/>
                <w:szCs w:val="20"/>
              </w:rPr>
              <w:t>口交换机</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24</w:t>
            </w:r>
            <w:r>
              <w:rPr>
                <w:rFonts w:hint="eastAsia" w:ascii="宋体" w:hAnsi="宋体" w:cs="宋体"/>
                <w:color w:val="auto"/>
                <w:sz w:val="20"/>
                <w:szCs w:val="20"/>
              </w:rPr>
              <w:t>个</w:t>
            </w:r>
            <w:r>
              <w:rPr>
                <w:rFonts w:ascii="宋体" w:hAnsi="宋体" w:cs="宋体"/>
                <w:color w:val="auto"/>
                <w:sz w:val="20"/>
                <w:szCs w:val="20"/>
              </w:rPr>
              <w:t>10/100/1000BASE-T</w:t>
            </w:r>
            <w:r>
              <w:rPr>
                <w:rFonts w:hint="eastAsia" w:ascii="宋体" w:hAnsi="宋体" w:cs="宋体"/>
                <w:color w:val="auto"/>
                <w:sz w:val="20"/>
                <w:szCs w:val="20"/>
              </w:rPr>
              <w:t>电口</w:t>
            </w:r>
            <w:r>
              <w:rPr>
                <w:rFonts w:ascii="宋体" w:cs="宋体"/>
                <w:color w:val="auto"/>
                <w:sz w:val="20"/>
                <w:szCs w:val="20"/>
              </w:rPr>
              <w:t>,</w:t>
            </w:r>
            <w:r>
              <w:rPr>
                <w:rFonts w:hint="eastAsia" w:ascii="宋体" w:hAnsi="宋体" w:cs="宋体"/>
                <w:color w:val="auto"/>
                <w:sz w:val="20"/>
                <w:szCs w:val="20"/>
              </w:rPr>
              <w:t>支持</w:t>
            </w:r>
            <w:r>
              <w:rPr>
                <w:rFonts w:ascii="宋体" w:hAnsi="宋体" w:cs="宋体"/>
                <w:color w:val="auto"/>
                <w:sz w:val="20"/>
                <w:szCs w:val="20"/>
              </w:rPr>
              <w:t>4</w:t>
            </w:r>
            <w:r>
              <w:rPr>
                <w:rFonts w:hint="eastAsia" w:ascii="宋体" w:hAnsi="宋体" w:cs="宋体"/>
                <w:color w:val="auto"/>
                <w:sz w:val="20"/>
                <w:szCs w:val="20"/>
              </w:rPr>
              <w:t>个</w:t>
            </w:r>
            <w:r>
              <w:rPr>
                <w:rFonts w:ascii="宋体" w:hAnsi="宋体" w:cs="宋体"/>
                <w:color w:val="auto"/>
                <w:sz w:val="20"/>
                <w:szCs w:val="20"/>
              </w:rPr>
              <w:t>SFP</w:t>
            </w:r>
            <w:r>
              <w:rPr>
                <w:rFonts w:hint="eastAsia" w:ascii="宋体" w:hAnsi="宋体" w:cs="宋体"/>
                <w:color w:val="auto"/>
                <w:sz w:val="20"/>
                <w:szCs w:val="20"/>
              </w:rPr>
              <w:t>，机架式（国标）</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15</w:t>
            </w: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27</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8</w:t>
            </w:r>
            <w:r>
              <w:rPr>
                <w:rFonts w:hint="eastAsia" w:ascii="宋体" w:hAnsi="宋体" w:cs="宋体"/>
                <w:color w:val="auto"/>
                <w:sz w:val="20"/>
                <w:szCs w:val="20"/>
              </w:rPr>
              <w:t>口交换机</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8</w:t>
            </w:r>
            <w:r>
              <w:rPr>
                <w:rFonts w:hint="eastAsia" w:ascii="宋体" w:hAnsi="宋体" w:cs="宋体"/>
                <w:color w:val="auto"/>
                <w:sz w:val="20"/>
                <w:szCs w:val="20"/>
              </w:rPr>
              <w:t>口千兆交换机，</w:t>
            </w:r>
            <w:r>
              <w:rPr>
                <w:rFonts w:ascii="宋体" w:hAnsi="宋体" w:cs="宋体"/>
                <w:color w:val="auto"/>
                <w:sz w:val="20"/>
                <w:szCs w:val="20"/>
              </w:rPr>
              <w:t>1U</w:t>
            </w:r>
            <w:r>
              <w:rPr>
                <w:rFonts w:hint="eastAsia" w:ascii="宋体" w:hAnsi="宋体" w:cs="宋体"/>
                <w:color w:val="auto"/>
                <w:sz w:val="20"/>
                <w:szCs w:val="20"/>
              </w:rPr>
              <w:t>机架式（国标）</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30</w:t>
            </w: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28</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室外单模光纤</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12</w:t>
            </w:r>
            <w:r>
              <w:rPr>
                <w:rFonts w:hint="eastAsia" w:ascii="宋体" w:hAnsi="宋体" w:cs="宋体"/>
                <w:color w:val="auto"/>
                <w:sz w:val="20"/>
                <w:szCs w:val="20"/>
              </w:rPr>
              <w:t>芯，国标</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米</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1000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5000</w:t>
            </w: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29</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光纤收发器</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hint="eastAsia" w:ascii="宋体" w:hAnsi="宋体" w:cs="宋体"/>
                <w:color w:val="auto"/>
                <w:sz w:val="20"/>
                <w:szCs w:val="20"/>
              </w:rPr>
              <w:t>国标</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对</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15</w:t>
            </w: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30</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网线</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hint="eastAsia" w:ascii="宋体" w:hAnsi="宋体" w:cs="宋体"/>
                <w:color w:val="auto"/>
                <w:sz w:val="20"/>
                <w:szCs w:val="20"/>
              </w:rPr>
              <w:t>超六类网线，国标（结算时按实结算）</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米</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4000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20000</w:t>
            </w:r>
          </w:p>
        </w:tc>
      </w:tr>
      <w:tr>
        <w:tblPrEx>
          <w:tblCellMar>
            <w:top w:w="0" w:type="dxa"/>
            <w:left w:w="108" w:type="dxa"/>
            <w:bottom w:w="0" w:type="dxa"/>
            <w:right w:w="108" w:type="dxa"/>
          </w:tblCellMar>
        </w:tblPrEx>
        <w:trPr>
          <w:trHeight w:val="48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31</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音箱线</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hint="eastAsia" w:ascii="宋体" w:hAnsi="宋体" w:cs="宋体"/>
                <w:color w:val="auto"/>
                <w:sz w:val="20"/>
                <w:szCs w:val="20"/>
              </w:rPr>
              <w:t>纯铜电线电缆线</w:t>
            </w:r>
            <w:r>
              <w:rPr>
                <w:rFonts w:ascii="宋体" w:hAnsi="宋体" w:cs="宋体"/>
                <w:color w:val="auto"/>
                <w:sz w:val="20"/>
                <w:szCs w:val="20"/>
              </w:rPr>
              <w:t xml:space="preserve"> RVV2</w:t>
            </w:r>
            <w:r>
              <w:rPr>
                <w:rFonts w:hint="eastAsia" w:ascii="宋体" w:hAnsi="宋体" w:cs="宋体"/>
                <w:color w:val="auto"/>
                <w:sz w:val="20"/>
                <w:szCs w:val="20"/>
              </w:rPr>
              <w:t>芯</w:t>
            </w:r>
            <w:r>
              <w:rPr>
                <w:rFonts w:ascii="宋体" w:hAnsi="宋体" w:cs="宋体"/>
                <w:color w:val="auto"/>
                <w:sz w:val="20"/>
                <w:szCs w:val="20"/>
              </w:rPr>
              <w:t>1.5</w:t>
            </w:r>
            <w:r>
              <w:rPr>
                <w:rFonts w:hint="eastAsia" w:ascii="宋体" w:hAnsi="宋体" w:cs="宋体"/>
                <w:color w:val="auto"/>
                <w:sz w:val="20"/>
                <w:szCs w:val="20"/>
              </w:rPr>
              <w:t>平多芯控制护套线</w:t>
            </w:r>
            <w:r>
              <w:rPr>
                <w:rFonts w:ascii="宋体" w:hAnsi="宋体" w:cs="宋体"/>
                <w:color w:val="auto"/>
                <w:sz w:val="20"/>
                <w:szCs w:val="20"/>
              </w:rPr>
              <w:t xml:space="preserve"> RVV2</w:t>
            </w:r>
            <w:r>
              <w:rPr>
                <w:rFonts w:hint="eastAsia" w:ascii="宋体" w:hAnsi="宋体" w:cs="宋体"/>
                <w:color w:val="auto"/>
                <w:sz w:val="20"/>
                <w:szCs w:val="20"/>
              </w:rPr>
              <w:t>芯</w:t>
            </w:r>
            <w:r>
              <w:rPr>
                <w:rFonts w:ascii="宋体" w:hAnsi="宋体" w:cs="宋体"/>
                <w:color w:val="auto"/>
                <w:sz w:val="20"/>
                <w:szCs w:val="20"/>
              </w:rPr>
              <w:t>2*1.5</w:t>
            </w:r>
            <w:r>
              <w:rPr>
                <w:rFonts w:hint="eastAsia" w:ascii="宋体" w:hAnsi="宋体" w:cs="宋体"/>
                <w:color w:val="auto"/>
                <w:sz w:val="20"/>
                <w:szCs w:val="20"/>
              </w:rPr>
              <w:t>，黑色（结算时按实结算）</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米</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1600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1600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1600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1600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1600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8000</w:t>
            </w:r>
          </w:p>
        </w:tc>
      </w:tr>
      <w:tr>
        <w:tblPrEx>
          <w:tblCellMar>
            <w:top w:w="0" w:type="dxa"/>
            <w:left w:w="108" w:type="dxa"/>
            <w:bottom w:w="0" w:type="dxa"/>
            <w:right w:w="108" w:type="dxa"/>
          </w:tblCellMar>
        </w:tblPrEx>
        <w:trPr>
          <w:trHeight w:val="96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32</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辅材</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RCA</w:t>
            </w:r>
            <w:r>
              <w:rPr>
                <w:rFonts w:hint="eastAsia" w:ascii="宋体" w:hAnsi="宋体" w:cs="宋体"/>
                <w:color w:val="auto"/>
                <w:sz w:val="20"/>
                <w:szCs w:val="20"/>
              </w:rPr>
              <w:t>莲花口</w:t>
            </w:r>
            <w:r>
              <w:rPr>
                <w:rFonts w:ascii="宋体" w:hAnsi="宋体" w:cs="宋体"/>
                <w:color w:val="auto"/>
                <w:sz w:val="20"/>
                <w:szCs w:val="20"/>
              </w:rPr>
              <w:t>-RCA</w:t>
            </w:r>
            <w:r>
              <w:rPr>
                <w:rFonts w:hint="eastAsia" w:ascii="宋体" w:hAnsi="宋体" w:cs="宋体"/>
                <w:color w:val="auto"/>
                <w:sz w:val="20"/>
                <w:szCs w:val="20"/>
              </w:rPr>
              <w:t>莲花口</w:t>
            </w:r>
            <w:r>
              <w:rPr>
                <w:rFonts w:ascii="宋体" w:hAnsi="宋体" w:cs="宋体"/>
                <w:color w:val="auto"/>
                <w:sz w:val="20"/>
                <w:szCs w:val="20"/>
              </w:rPr>
              <w:t>(1.2m)</w:t>
            </w:r>
            <w:r>
              <w:rPr>
                <w:rFonts w:hint="eastAsia" w:ascii="宋体" w:hAnsi="宋体" w:cs="宋体"/>
                <w:color w:val="auto"/>
                <w:sz w:val="20"/>
                <w:szCs w:val="20"/>
              </w:rPr>
              <w:t>、</w:t>
            </w:r>
            <w:r>
              <w:rPr>
                <w:rFonts w:ascii="宋体" w:hAnsi="宋体" w:cs="宋体"/>
                <w:color w:val="auto"/>
                <w:sz w:val="20"/>
                <w:szCs w:val="20"/>
              </w:rPr>
              <w:t>RCA</w:t>
            </w:r>
            <w:r>
              <w:rPr>
                <w:rFonts w:hint="eastAsia" w:ascii="宋体" w:hAnsi="宋体" w:cs="宋体"/>
                <w:color w:val="auto"/>
                <w:sz w:val="20"/>
                <w:szCs w:val="20"/>
              </w:rPr>
              <w:t>莲花</w:t>
            </w:r>
            <w:r>
              <w:rPr>
                <w:rFonts w:ascii="宋体" w:hAnsi="宋体" w:cs="宋体"/>
                <w:color w:val="auto"/>
                <w:sz w:val="20"/>
                <w:szCs w:val="20"/>
              </w:rPr>
              <w:t>-6.35mm</w:t>
            </w:r>
            <w:r>
              <w:rPr>
                <w:rFonts w:hint="eastAsia" w:ascii="宋体" w:hAnsi="宋体" w:cs="宋体"/>
                <w:color w:val="auto"/>
                <w:sz w:val="20"/>
                <w:szCs w:val="20"/>
              </w:rPr>
              <w:t>大单芯</w:t>
            </w:r>
            <w:r>
              <w:rPr>
                <w:rFonts w:ascii="宋体" w:hAnsi="宋体" w:cs="宋体"/>
                <w:color w:val="auto"/>
                <w:sz w:val="20"/>
                <w:szCs w:val="20"/>
              </w:rPr>
              <w:t>(1.2m)</w:t>
            </w:r>
            <w:r>
              <w:rPr>
                <w:rFonts w:hint="eastAsia" w:ascii="宋体" w:hAnsi="宋体" w:cs="宋体"/>
                <w:color w:val="auto"/>
                <w:sz w:val="20"/>
                <w:szCs w:val="20"/>
              </w:rPr>
              <w:t>、</w:t>
            </w:r>
            <w:r>
              <w:rPr>
                <w:rFonts w:ascii="宋体" w:hAnsi="宋体" w:cs="宋体"/>
                <w:color w:val="auto"/>
                <w:sz w:val="20"/>
                <w:szCs w:val="20"/>
              </w:rPr>
              <w:t>3.5mm</w:t>
            </w:r>
            <w:r>
              <w:rPr>
                <w:rFonts w:hint="eastAsia" w:ascii="宋体" w:hAnsi="宋体" w:cs="宋体"/>
                <w:color w:val="auto"/>
                <w:sz w:val="20"/>
                <w:szCs w:val="20"/>
              </w:rPr>
              <w:t>接线头</w:t>
            </w:r>
            <w:r>
              <w:rPr>
                <w:rFonts w:ascii="宋体" w:cs="宋体"/>
                <w:color w:val="auto"/>
                <w:sz w:val="20"/>
                <w:szCs w:val="20"/>
              </w:rPr>
              <w:t>-</w:t>
            </w:r>
            <w:r>
              <w:rPr>
                <w:rFonts w:hint="eastAsia" w:ascii="宋体" w:hAnsi="宋体" w:cs="宋体"/>
                <w:color w:val="auto"/>
                <w:sz w:val="20"/>
                <w:szCs w:val="20"/>
              </w:rPr>
              <w:t>双</w:t>
            </w:r>
            <w:r>
              <w:rPr>
                <w:rFonts w:ascii="宋体" w:hAnsi="宋体" w:cs="宋体"/>
                <w:color w:val="auto"/>
                <w:sz w:val="20"/>
                <w:szCs w:val="20"/>
              </w:rPr>
              <w:t>RCA</w:t>
            </w:r>
            <w:r>
              <w:rPr>
                <w:rFonts w:hint="eastAsia" w:ascii="宋体" w:hAnsi="宋体" w:cs="宋体"/>
                <w:color w:val="auto"/>
                <w:sz w:val="20"/>
                <w:szCs w:val="20"/>
              </w:rPr>
              <w:t>莲花</w:t>
            </w:r>
            <w:r>
              <w:rPr>
                <w:rFonts w:ascii="宋体" w:hAnsi="宋体" w:cs="宋体"/>
                <w:color w:val="auto"/>
                <w:sz w:val="20"/>
                <w:szCs w:val="20"/>
              </w:rPr>
              <w:t>(1.2m)</w:t>
            </w:r>
            <w:r>
              <w:rPr>
                <w:rFonts w:hint="eastAsia" w:ascii="宋体" w:hAnsi="宋体" w:cs="宋体"/>
                <w:color w:val="auto"/>
                <w:sz w:val="20"/>
                <w:szCs w:val="20"/>
              </w:rPr>
              <w:t>、跳线、扎带、水晶头等安装所涉及的所有相关辅材。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批</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r>
        <w:tblPrEx>
          <w:tblCellMar>
            <w:top w:w="0" w:type="dxa"/>
            <w:left w:w="108" w:type="dxa"/>
            <w:bottom w:w="0" w:type="dxa"/>
            <w:right w:w="108" w:type="dxa"/>
          </w:tblCellMar>
        </w:tblPrEx>
        <w:trPr>
          <w:trHeight w:val="714"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33</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运维服务</w:t>
            </w:r>
          </w:p>
        </w:tc>
        <w:tc>
          <w:tcPr>
            <w:tcW w:w="20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auto"/>
                <w:sz w:val="20"/>
                <w:szCs w:val="20"/>
              </w:rPr>
            </w:pPr>
            <w:r>
              <w:rPr>
                <w:rFonts w:ascii="宋体" w:hAnsi="宋体" w:cs="宋体"/>
                <w:color w:val="auto"/>
                <w:sz w:val="20"/>
                <w:szCs w:val="20"/>
              </w:rPr>
              <w:t>1.</w:t>
            </w:r>
            <w:r>
              <w:rPr>
                <w:rFonts w:hint="eastAsia" w:ascii="宋体" w:hAnsi="宋体" w:cs="宋体"/>
                <w:color w:val="auto"/>
                <w:sz w:val="20"/>
                <w:szCs w:val="20"/>
              </w:rPr>
              <w:t>质保期内高考英语考试期间，单考点每次考试提供不得少于</w:t>
            </w:r>
            <w:r>
              <w:rPr>
                <w:rFonts w:ascii="宋体" w:hAnsi="宋体" w:cs="宋体"/>
                <w:color w:val="auto"/>
                <w:sz w:val="20"/>
                <w:szCs w:val="20"/>
              </w:rPr>
              <w:t>2</w:t>
            </w:r>
            <w:r>
              <w:rPr>
                <w:rFonts w:hint="eastAsia" w:ascii="宋体" w:hAnsi="宋体" w:cs="宋体"/>
                <w:color w:val="auto"/>
                <w:sz w:val="20"/>
                <w:szCs w:val="20"/>
              </w:rPr>
              <w:t>名专业技术人员进行现场保障。</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项</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r>
    </w:tbl>
    <w:p>
      <w:pPr>
        <w:widowControl/>
        <w:spacing w:line="480" w:lineRule="exact"/>
        <w:ind w:firstLine="480"/>
        <w:jc w:val="left"/>
        <w:rPr>
          <w:rFonts w:ascii="宋体"/>
          <w:color w:val="auto"/>
          <w:sz w:val="24"/>
          <w:szCs w:val="24"/>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r>
        <w:rPr>
          <w:rFonts w:hint="eastAsia" w:hAnsi="宋体"/>
          <w:b/>
          <w:bCs/>
          <w:color w:val="auto"/>
          <w:sz w:val="32"/>
          <w:szCs w:val="32"/>
        </w:rPr>
        <w:t>第四章</w:t>
      </w:r>
      <w:r>
        <w:rPr>
          <w:rFonts w:hint="eastAsia" w:hAnsi="宋体"/>
          <w:b/>
          <w:bCs/>
          <w:color w:val="auto"/>
          <w:sz w:val="32"/>
          <w:szCs w:val="32"/>
          <w:lang w:val="en-US" w:eastAsia="zh-CN"/>
        </w:rPr>
        <w:t xml:space="preserve"> </w:t>
      </w:r>
      <w:r>
        <w:rPr>
          <w:rFonts w:hint="eastAsia" w:hAnsi="宋体"/>
          <w:b/>
          <w:bCs/>
          <w:color w:val="auto"/>
          <w:sz w:val="32"/>
          <w:szCs w:val="32"/>
        </w:rPr>
        <w:t>评标办法及评分标准</w:t>
      </w:r>
      <w:bookmarkEnd w:id="19"/>
      <w:bookmarkEnd w:id="20"/>
    </w:p>
    <w:p>
      <w:pPr>
        <w:pStyle w:val="20"/>
        <w:spacing w:line="400" w:lineRule="exact"/>
        <w:ind w:firstLine="482"/>
        <w:rPr>
          <w:rFonts w:cs="Calibri"/>
          <w:b/>
          <w:bCs/>
          <w:color w:val="auto"/>
          <w:sz w:val="24"/>
          <w:szCs w:val="24"/>
        </w:rPr>
      </w:pPr>
      <w:r>
        <w:rPr>
          <w:rFonts w:hint="eastAsia"/>
          <w:b/>
          <w:bCs/>
          <w:color w:val="auto"/>
          <w:sz w:val="24"/>
          <w:szCs w:val="24"/>
        </w:rPr>
        <w:t>一、评标办法：综合评分法。</w:t>
      </w:r>
    </w:p>
    <w:p>
      <w:pPr>
        <w:pStyle w:val="20"/>
        <w:spacing w:line="400" w:lineRule="exact"/>
        <w:ind w:firstLine="482"/>
        <w:rPr>
          <w:rFonts w:cs="Calibri"/>
          <w:color w:val="auto"/>
          <w:sz w:val="24"/>
          <w:szCs w:val="24"/>
        </w:rPr>
      </w:pPr>
      <w:r>
        <w:rPr>
          <w:color w:val="auto"/>
          <w:sz w:val="24"/>
          <w:szCs w:val="24"/>
        </w:rPr>
        <w:t>1.</w:t>
      </w:r>
      <w:r>
        <w:rPr>
          <w:rFonts w:hint="eastAsia"/>
          <w:color w:val="auto"/>
          <w:sz w:val="24"/>
          <w:szCs w:val="24"/>
        </w:rPr>
        <w:t>为体现公开、公平、公正和择优诚信的原则，根据相关法律法规规定和招标文件约定，本次招标决定采用综合评分法评标，即在最大限度地满足招标文件实质性要求前提下，按照招标文件中规定的各项因素进行综合评审后，以评标总得分最高的投标人作为中标候选人或者中标人的评标方法。</w:t>
      </w:r>
    </w:p>
    <w:p>
      <w:pPr>
        <w:pStyle w:val="20"/>
        <w:spacing w:line="400" w:lineRule="exact"/>
        <w:ind w:firstLine="482"/>
        <w:rPr>
          <w:rFonts w:cs="Calibri"/>
          <w:color w:val="auto"/>
          <w:sz w:val="24"/>
          <w:szCs w:val="24"/>
        </w:rPr>
      </w:pPr>
      <w:r>
        <w:rPr>
          <w:color w:val="auto"/>
          <w:sz w:val="24"/>
          <w:szCs w:val="24"/>
        </w:rPr>
        <w:t>2.</w:t>
      </w:r>
      <w:r>
        <w:rPr>
          <w:rFonts w:hint="eastAsia"/>
          <w:color w:val="auto"/>
          <w:sz w:val="24"/>
          <w:szCs w:val="24"/>
        </w:rPr>
        <w:t>任何最低报价及任何单项因素的最优均不是中标的必要条件。评标时，评标委员会各成员独立对每个有效投标人的标书进行评价、打分，然后汇总，按算术平均方法，计算出每个投标人的得分；报价得分通过计算直接取得；报价得分加评委算术平均得分，为投标人的总得分。</w:t>
      </w:r>
    </w:p>
    <w:p>
      <w:pPr>
        <w:pStyle w:val="20"/>
        <w:spacing w:line="400" w:lineRule="exact"/>
        <w:ind w:firstLine="482"/>
        <w:rPr>
          <w:rFonts w:cs="Calibri"/>
          <w:color w:val="auto"/>
          <w:sz w:val="24"/>
          <w:szCs w:val="24"/>
        </w:rPr>
      </w:pPr>
      <w:r>
        <w:rPr>
          <w:color w:val="auto"/>
          <w:sz w:val="24"/>
          <w:szCs w:val="24"/>
        </w:rPr>
        <w:t>3.</w:t>
      </w:r>
      <w:r>
        <w:rPr>
          <w:rFonts w:hint="eastAsia"/>
          <w:color w:val="auto"/>
          <w:sz w:val="24"/>
          <w:szCs w:val="24"/>
        </w:rPr>
        <w:t>总得分最高的即为中标候选人。</w:t>
      </w:r>
    </w:p>
    <w:p>
      <w:pPr>
        <w:pStyle w:val="20"/>
        <w:spacing w:line="400" w:lineRule="exact"/>
        <w:ind w:firstLine="482"/>
        <w:rPr>
          <w:rFonts w:cs="Calibri"/>
          <w:color w:val="auto"/>
          <w:sz w:val="24"/>
          <w:szCs w:val="24"/>
        </w:rPr>
      </w:pPr>
      <w:r>
        <w:rPr>
          <w:color w:val="auto"/>
          <w:sz w:val="24"/>
          <w:szCs w:val="24"/>
        </w:rPr>
        <w:t>4.</w:t>
      </w:r>
      <w:r>
        <w:rPr>
          <w:rFonts w:hint="eastAsia"/>
          <w:color w:val="auto"/>
          <w:sz w:val="24"/>
          <w:szCs w:val="24"/>
        </w:rPr>
        <w:t>推荐的中标候选人数：</w:t>
      </w:r>
      <w:r>
        <w:rPr>
          <w:color w:val="auto"/>
          <w:sz w:val="24"/>
          <w:szCs w:val="24"/>
        </w:rPr>
        <w:t>1</w:t>
      </w:r>
      <w:r>
        <w:rPr>
          <w:rFonts w:hint="eastAsia"/>
          <w:color w:val="auto"/>
          <w:sz w:val="24"/>
          <w:szCs w:val="24"/>
        </w:rPr>
        <w:t>名。</w:t>
      </w:r>
    </w:p>
    <w:p>
      <w:pPr>
        <w:pStyle w:val="20"/>
        <w:spacing w:line="400" w:lineRule="exact"/>
        <w:ind w:firstLine="480"/>
        <w:rPr>
          <w:rFonts w:cs="Calibri"/>
          <w:b/>
          <w:bCs/>
          <w:color w:val="auto"/>
          <w:sz w:val="24"/>
          <w:szCs w:val="24"/>
        </w:rPr>
      </w:pPr>
      <w:r>
        <w:rPr>
          <w:rFonts w:hint="eastAsia"/>
          <w:b/>
          <w:bCs/>
          <w:color w:val="auto"/>
          <w:sz w:val="24"/>
          <w:szCs w:val="24"/>
        </w:rPr>
        <w:t>二、小微企业优惠情况：</w:t>
      </w:r>
    </w:p>
    <w:p>
      <w:pPr>
        <w:pStyle w:val="20"/>
        <w:spacing w:line="400" w:lineRule="exact"/>
        <w:ind w:firstLine="480"/>
        <w:rPr>
          <w:rFonts w:cs="Calibri"/>
          <w:color w:val="auto"/>
          <w:sz w:val="24"/>
          <w:szCs w:val="24"/>
        </w:rPr>
      </w:pPr>
      <w:r>
        <w:rPr>
          <w:color w:val="auto"/>
          <w:sz w:val="24"/>
          <w:szCs w:val="24"/>
        </w:rPr>
        <w:t>1.</w:t>
      </w:r>
      <w:r>
        <w:rPr>
          <w:rFonts w:hint="eastAsia"/>
          <w:color w:val="auto"/>
          <w:sz w:val="24"/>
          <w:szCs w:val="24"/>
        </w:rPr>
        <w:t>对小型和微型企业产品最后价格给予</w:t>
      </w:r>
      <w:r>
        <w:rPr>
          <w:color w:val="auto"/>
          <w:sz w:val="24"/>
          <w:szCs w:val="24"/>
        </w:rPr>
        <w:t>20%</w:t>
      </w:r>
      <w:r>
        <w:rPr>
          <w:rFonts w:hint="eastAsia"/>
          <w:color w:val="auto"/>
          <w:sz w:val="24"/>
          <w:szCs w:val="24"/>
        </w:rPr>
        <w:t>的扣除，用扣除后的价格参与评审。</w:t>
      </w:r>
    </w:p>
    <w:p>
      <w:pPr>
        <w:pStyle w:val="20"/>
        <w:spacing w:line="400" w:lineRule="exact"/>
        <w:ind w:firstLine="480"/>
        <w:rPr>
          <w:rFonts w:cs="Calibri"/>
          <w:color w:val="auto"/>
          <w:sz w:val="24"/>
          <w:szCs w:val="24"/>
        </w:rPr>
      </w:pPr>
      <w:r>
        <w:rPr>
          <w:rFonts w:hint="eastAsia"/>
          <w:color w:val="auto"/>
          <w:sz w:val="24"/>
          <w:szCs w:val="24"/>
        </w:rPr>
        <w:t>如项目为工程类或服务类，施工单位</w:t>
      </w:r>
      <w:r>
        <w:rPr>
          <w:color w:val="auto"/>
          <w:sz w:val="24"/>
          <w:szCs w:val="24"/>
        </w:rPr>
        <w:t>/</w:t>
      </w:r>
      <w:r>
        <w:rPr>
          <w:rFonts w:hint="eastAsia"/>
          <w:color w:val="auto"/>
          <w:sz w:val="24"/>
          <w:szCs w:val="24"/>
        </w:rPr>
        <w:t>服务全部由符合政策要求的小微企业承接，对其总报价给予</w:t>
      </w:r>
      <w:r>
        <w:rPr>
          <w:color w:val="auto"/>
          <w:sz w:val="24"/>
          <w:szCs w:val="24"/>
        </w:rPr>
        <w:t>20%</w:t>
      </w:r>
      <w:r>
        <w:rPr>
          <w:rFonts w:hint="eastAsia"/>
          <w:color w:val="auto"/>
          <w:sz w:val="24"/>
          <w:szCs w:val="24"/>
        </w:rPr>
        <w:t>的扣除，用扣除后的价格参与价格评审。</w:t>
      </w:r>
    </w:p>
    <w:p>
      <w:pPr>
        <w:pStyle w:val="20"/>
        <w:spacing w:line="400" w:lineRule="exact"/>
        <w:ind w:firstLine="480"/>
        <w:rPr>
          <w:rFonts w:cs="Calibri"/>
          <w:color w:val="auto"/>
          <w:sz w:val="24"/>
          <w:szCs w:val="24"/>
        </w:rPr>
      </w:pPr>
      <w:r>
        <w:rPr>
          <w:rFonts w:hint="eastAsia"/>
          <w:color w:val="auto"/>
          <w:sz w:val="24"/>
          <w:szCs w:val="24"/>
        </w:rPr>
        <w:t>如项目为货物类采购，提供的货物全部由符合政策要求的小微企业制造，对其总报价给予</w:t>
      </w:r>
      <w:r>
        <w:rPr>
          <w:color w:val="auto"/>
          <w:sz w:val="24"/>
          <w:szCs w:val="24"/>
        </w:rPr>
        <w:t>20%</w:t>
      </w:r>
      <w:r>
        <w:rPr>
          <w:rFonts w:hint="eastAsia"/>
          <w:color w:val="auto"/>
          <w:sz w:val="24"/>
          <w:szCs w:val="24"/>
        </w:rPr>
        <w:t>的扣除，用扣除后的价格参与价格评审。如供应商提供的货物既有中小企业制造货物，也有大型企业制造货物，不享受中小企业扶持政策，价格不作相应扣除。</w:t>
      </w:r>
    </w:p>
    <w:p>
      <w:pPr>
        <w:pStyle w:val="20"/>
        <w:spacing w:line="400" w:lineRule="exact"/>
        <w:ind w:firstLine="480"/>
        <w:rPr>
          <w:rFonts w:cs="Calibri"/>
          <w:color w:val="auto"/>
          <w:sz w:val="24"/>
          <w:szCs w:val="24"/>
        </w:rPr>
      </w:pPr>
      <w:r>
        <w:rPr>
          <w:color w:val="auto"/>
          <w:sz w:val="24"/>
          <w:szCs w:val="24"/>
        </w:rPr>
        <w:t>2.</w:t>
      </w:r>
      <w:r>
        <w:rPr>
          <w:rFonts w:hint="eastAsia"/>
          <w:color w:val="auto"/>
          <w:sz w:val="24"/>
          <w:szCs w:val="24"/>
        </w:rPr>
        <w:t>供应商须按照采购文件要求提供相应的《企业声明函》（格式附后），不提供声明函或有弄虚作假的，将依法承担相应责任。</w:t>
      </w:r>
    </w:p>
    <w:p>
      <w:pPr>
        <w:pStyle w:val="20"/>
        <w:spacing w:line="400" w:lineRule="exact"/>
        <w:ind w:firstLine="480"/>
        <w:rPr>
          <w:rFonts w:cs="Calibri"/>
          <w:color w:val="auto"/>
          <w:sz w:val="24"/>
          <w:szCs w:val="24"/>
        </w:rPr>
      </w:pPr>
      <w:r>
        <w:rPr>
          <w:color w:val="auto"/>
          <w:sz w:val="24"/>
          <w:szCs w:val="24"/>
        </w:rPr>
        <w:t>3.</w:t>
      </w:r>
      <w:r>
        <w:rPr>
          <w:rFonts w:hint="eastAsia"/>
          <w:color w:val="auto"/>
          <w:sz w:val="24"/>
          <w:szCs w:val="24"/>
        </w:rPr>
        <w:t>企业标准请参照《关于印发中小企业划型标准规定的通知》（工信部联企业【</w:t>
      </w:r>
      <w:r>
        <w:rPr>
          <w:color w:val="auto"/>
          <w:sz w:val="24"/>
          <w:szCs w:val="24"/>
        </w:rPr>
        <w:t>2011</w:t>
      </w:r>
      <w:r>
        <w:rPr>
          <w:rFonts w:hint="eastAsia"/>
          <w:color w:val="auto"/>
          <w:sz w:val="24"/>
          <w:szCs w:val="24"/>
        </w:rPr>
        <w:t>】</w:t>
      </w:r>
      <w:r>
        <w:rPr>
          <w:color w:val="auto"/>
          <w:sz w:val="24"/>
          <w:szCs w:val="24"/>
        </w:rPr>
        <w:t>300</w:t>
      </w:r>
      <w:r>
        <w:rPr>
          <w:rFonts w:hint="eastAsia"/>
          <w:color w:val="auto"/>
          <w:sz w:val="24"/>
          <w:szCs w:val="24"/>
        </w:rPr>
        <w:t>号）文件规定自行填写。</w:t>
      </w:r>
    </w:p>
    <w:p>
      <w:pPr>
        <w:pStyle w:val="20"/>
        <w:spacing w:line="400" w:lineRule="exact"/>
        <w:ind w:firstLine="480"/>
        <w:rPr>
          <w:rFonts w:cs="Calibri"/>
          <w:color w:val="auto"/>
          <w:sz w:val="24"/>
          <w:szCs w:val="24"/>
        </w:rPr>
      </w:pPr>
      <w:r>
        <w:rPr>
          <w:color w:val="auto"/>
          <w:sz w:val="24"/>
          <w:szCs w:val="24"/>
        </w:rPr>
        <w:t>4.</w:t>
      </w:r>
      <w:r>
        <w:rPr>
          <w:rFonts w:hint="eastAsia"/>
          <w:color w:val="auto"/>
          <w:sz w:val="24"/>
          <w:szCs w:val="24"/>
        </w:rPr>
        <w:t>以上规定未尽事项，按《政府采购促进中小企业发展管理办法》</w:t>
      </w:r>
      <w:r>
        <w:rPr>
          <w:color w:val="auto"/>
          <w:sz w:val="24"/>
          <w:szCs w:val="24"/>
        </w:rPr>
        <w:t xml:space="preserve"> </w:t>
      </w:r>
      <w:r>
        <w:rPr>
          <w:rFonts w:hint="eastAsia"/>
          <w:color w:val="auto"/>
          <w:sz w:val="24"/>
          <w:szCs w:val="24"/>
        </w:rPr>
        <w:t>（财库【</w:t>
      </w:r>
      <w:r>
        <w:rPr>
          <w:color w:val="auto"/>
          <w:sz w:val="24"/>
          <w:szCs w:val="24"/>
        </w:rPr>
        <w:t>2020</w:t>
      </w:r>
      <w:r>
        <w:rPr>
          <w:rFonts w:hint="eastAsia"/>
          <w:color w:val="auto"/>
          <w:sz w:val="24"/>
          <w:szCs w:val="24"/>
        </w:rPr>
        <w:t>】</w:t>
      </w:r>
      <w:r>
        <w:rPr>
          <w:color w:val="auto"/>
          <w:sz w:val="24"/>
          <w:szCs w:val="24"/>
        </w:rPr>
        <w:t>46</w:t>
      </w:r>
      <w:r>
        <w:rPr>
          <w:rFonts w:hint="eastAsia"/>
          <w:color w:val="auto"/>
          <w:sz w:val="24"/>
          <w:szCs w:val="24"/>
        </w:rPr>
        <w:t>号）等有关制度规定执行。</w:t>
      </w:r>
    </w:p>
    <w:p>
      <w:pPr>
        <w:pStyle w:val="20"/>
        <w:spacing w:line="400" w:lineRule="exact"/>
        <w:ind w:firstLine="480"/>
        <w:rPr>
          <w:rFonts w:cs="Calibri"/>
          <w:b/>
          <w:bCs/>
          <w:color w:val="auto"/>
          <w:sz w:val="24"/>
          <w:szCs w:val="24"/>
        </w:rPr>
      </w:pPr>
      <w:r>
        <w:rPr>
          <w:rFonts w:hint="eastAsia"/>
          <w:b/>
          <w:bCs/>
          <w:color w:val="auto"/>
          <w:sz w:val="24"/>
          <w:szCs w:val="24"/>
        </w:rPr>
        <w:t>三、残疾人福利单位价格扣除：</w:t>
      </w:r>
    </w:p>
    <w:p>
      <w:pPr>
        <w:pStyle w:val="20"/>
        <w:spacing w:line="400" w:lineRule="exact"/>
        <w:ind w:firstLine="480"/>
        <w:rPr>
          <w:rFonts w:cs="Calibri"/>
          <w:color w:val="auto"/>
          <w:sz w:val="24"/>
          <w:szCs w:val="24"/>
        </w:rPr>
      </w:pPr>
      <w:r>
        <w:rPr>
          <w:color w:val="auto"/>
          <w:sz w:val="24"/>
          <w:szCs w:val="24"/>
        </w:rPr>
        <w:t>1.</w:t>
      </w:r>
      <w:r>
        <w:rPr>
          <w:rFonts w:hint="eastAsia"/>
          <w:color w:val="auto"/>
          <w:sz w:val="24"/>
          <w:szCs w:val="24"/>
        </w:rPr>
        <w:t>本项目对残疾人福利性单位视同小型、微型企业，给予</w:t>
      </w:r>
      <w:r>
        <w:rPr>
          <w:color w:val="auto"/>
          <w:sz w:val="24"/>
          <w:szCs w:val="24"/>
        </w:rPr>
        <w:t>20%</w:t>
      </w:r>
      <w:r>
        <w:rPr>
          <w:rFonts w:hint="eastAsia"/>
          <w:color w:val="auto"/>
          <w:sz w:val="24"/>
          <w:szCs w:val="24"/>
        </w:rPr>
        <w:t>的价格扣除，用扣除后的价格参与评审。</w:t>
      </w:r>
    </w:p>
    <w:p>
      <w:pPr>
        <w:pStyle w:val="20"/>
        <w:spacing w:line="400" w:lineRule="exact"/>
        <w:ind w:firstLine="480"/>
        <w:rPr>
          <w:rFonts w:cs="Calibri"/>
          <w:color w:val="auto"/>
          <w:sz w:val="24"/>
          <w:szCs w:val="24"/>
        </w:rPr>
      </w:pPr>
      <w:r>
        <w:rPr>
          <w:color w:val="auto"/>
          <w:sz w:val="24"/>
          <w:szCs w:val="24"/>
        </w:rPr>
        <w:t>2.</w:t>
      </w:r>
      <w:r>
        <w:rPr>
          <w:rFonts w:hint="eastAsia"/>
          <w:color w:val="auto"/>
          <w:sz w:val="24"/>
          <w:szCs w:val="24"/>
        </w:rPr>
        <w:t>残疾人福利单位需按照采购文件的要求提供《残疾人福利性单位声明函》。</w:t>
      </w:r>
    </w:p>
    <w:p>
      <w:pPr>
        <w:pStyle w:val="20"/>
        <w:spacing w:line="400" w:lineRule="exact"/>
        <w:ind w:firstLine="480"/>
        <w:rPr>
          <w:rFonts w:cs="Calibri"/>
          <w:color w:val="auto"/>
          <w:sz w:val="24"/>
          <w:szCs w:val="24"/>
        </w:rPr>
      </w:pPr>
      <w:r>
        <w:rPr>
          <w:color w:val="auto"/>
          <w:sz w:val="24"/>
          <w:szCs w:val="24"/>
        </w:rPr>
        <w:t>3.</w:t>
      </w:r>
      <w:r>
        <w:rPr>
          <w:rFonts w:hint="eastAsia"/>
          <w:color w:val="auto"/>
          <w:sz w:val="24"/>
          <w:szCs w:val="24"/>
        </w:rPr>
        <w:t>残疾人福利单位标准请参照《关于促进残疾人就业政府采购政策的通知》（财库〔</w:t>
      </w:r>
      <w:r>
        <w:rPr>
          <w:color w:val="auto"/>
          <w:sz w:val="24"/>
          <w:szCs w:val="24"/>
        </w:rPr>
        <w:t>2017</w:t>
      </w:r>
      <w:r>
        <w:rPr>
          <w:rFonts w:hint="eastAsia"/>
          <w:color w:val="auto"/>
          <w:sz w:val="24"/>
          <w:szCs w:val="24"/>
        </w:rPr>
        <w:t>〕</w:t>
      </w:r>
      <w:r>
        <w:rPr>
          <w:color w:val="auto"/>
          <w:sz w:val="24"/>
          <w:szCs w:val="24"/>
        </w:rPr>
        <w:t>141</w:t>
      </w:r>
      <w:r>
        <w:rPr>
          <w:rFonts w:hint="eastAsia"/>
          <w:color w:val="auto"/>
          <w:sz w:val="24"/>
          <w:szCs w:val="24"/>
        </w:rPr>
        <w:t>号）。</w:t>
      </w:r>
    </w:p>
    <w:p>
      <w:pPr>
        <w:pStyle w:val="20"/>
        <w:spacing w:line="400" w:lineRule="exact"/>
        <w:ind w:firstLine="480"/>
        <w:rPr>
          <w:rFonts w:cs="Calibri"/>
          <w:b/>
          <w:bCs/>
          <w:color w:val="auto"/>
          <w:sz w:val="24"/>
          <w:szCs w:val="24"/>
        </w:rPr>
      </w:pPr>
      <w:r>
        <w:rPr>
          <w:rFonts w:hint="eastAsia"/>
          <w:b/>
          <w:bCs/>
          <w:color w:val="auto"/>
          <w:sz w:val="24"/>
          <w:szCs w:val="24"/>
        </w:rPr>
        <w:t>四、监狱和戒毒企业价格扣除：</w:t>
      </w:r>
    </w:p>
    <w:p>
      <w:pPr>
        <w:pStyle w:val="20"/>
        <w:spacing w:line="400" w:lineRule="exact"/>
        <w:ind w:firstLine="480"/>
        <w:rPr>
          <w:rFonts w:cs="Calibri"/>
          <w:color w:val="auto"/>
          <w:sz w:val="24"/>
          <w:szCs w:val="24"/>
        </w:rPr>
      </w:pPr>
      <w:r>
        <w:rPr>
          <w:color w:val="auto"/>
          <w:sz w:val="24"/>
          <w:szCs w:val="24"/>
        </w:rPr>
        <w:t>1.</w:t>
      </w:r>
      <w:r>
        <w:rPr>
          <w:rFonts w:hint="eastAsia"/>
          <w:color w:val="auto"/>
          <w:sz w:val="24"/>
          <w:szCs w:val="24"/>
        </w:rPr>
        <w:t>本项目对监狱和戒毒企业（简称监狱企业）视同小型、微型企业，给予</w:t>
      </w:r>
      <w:r>
        <w:rPr>
          <w:color w:val="auto"/>
          <w:sz w:val="24"/>
          <w:szCs w:val="24"/>
        </w:rPr>
        <w:t>20%</w:t>
      </w:r>
      <w:r>
        <w:rPr>
          <w:rFonts w:hint="eastAsia"/>
          <w:color w:val="auto"/>
          <w:sz w:val="24"/>
          <w:szCs w:val="24"/>
        </w:rPr>
        <w:t>的价格扣除，用扣除后的价格参与评审。</w:t>
      </w:r>
    </w:p>
    <w:p>
      <w:pPr>
        <w:pStyle w:val="20"/>
        <w:spacing w:line="400" w:lineRule="exact"/>
        <w:ind w:firstLine="480"/>
        <w:rPr>
          <w:rFonts w:cs="Calibri"/>
          <w:color w:val="auto"/>
          <w:sz w:val="24"/>
          <w:szCs w:val="24"/>
        </w:rPr>
      </w:pPr>
      <w:r>
        <w:rPr>
          <w:color w:val="auto"/>
          <w:sz w:val="24"/>
          <w:szCs w:val="24"/>
        </w:rPr>
        <w:t>2.</w:t>
      </w:r>
      <w:r>
        <w:rPr>
          <w:rFonts w:hint="eastAsia"/>
          <w:color w:val="auto"/>
          <w:sz w:val="24"/>
          <w:szCs w:val="24"/>
        </w:rPr>
        <w:t>监狱企业参加政府采购活动时，需提供由省级以上监狱管理局、戒毒管理局</w:t>
      </w:r>
      <w:r>
        <w:rPr>
          <w:color w:val="auto"/>
          <w:sz w:val="24"/>
          <w:szCs w:val="24"/>
        </w:rPr>
        <w:t>(</w:t>
      </w:r>
      <w:r>
        <w:rPr>
          <w:rFonts w:hint="eastAsia"/>
          <w:color w:val="auto"/>
          <w:sz w:val="24"/>
          <w:szCs w:val="24"/>
        </w:rPr>
        <w:t>含新疆生产建设兵团</w:t>
      </w:r>
      <w:r>
        <w:rPr>
          <w:color w:val="auto"/>
          <w:sz w:val="24"/>
          <w:szCs w:val="24"/>
        </w:rPr>
        <w:t>)</w:t>
      </w:r>
      <w:r>
        <w:rPr>
          <w:rFonts w:hint="eastAsia"/>
          <w:color w:val="auto"/>
          <w:sz w:val="24"/>
          <w:szCs w:val="24"/>
        </w:rPr>
        <w:t>出具的属于监狱企业的证明文件。供应商如不提供上述证明文件，价格将不做相应扣除。</w:t>
      </w:r>
    </w:p>
    <w:p>
      <w:pPr>
        <w:pStyle w:val="20"/>
        <w:spacing w:line="400" w:lineRule="exact"/>
        <w:ind w:firstLine="480"/>
        <w:rPr>
          <w:rFonts w:cs="Calibri"/>
          <w:color w:val="auto"/>
          <w:sz w:val="24"/>
          <w:szCs w:val="24"/>
        </w:rPr>
      </w:pPr>
      <w:r>
        <w:rPr>
          <w:color w:val="auto"/>
          <w:sz w:val="24"/>
          <w:szCs w:val="24"/>
        </w:rPr>
        <w:t>3.</w:t>
      </w:r>
      <w:r>
        <w:rPr>
          <w:rFonts w:hint="eastAsia"/>
          <w:color w:val="auto"/>
          <w:sz w:val="24"/>
          <w:szCs w:val="24"/>
        </w:rPr>
        <w:t>监狱企业标准请参照《关于政府采购支持监狱企业发展有关问题的通知》（财库</w:t>
      </w:r>
      <w:r>
        <w:rPr>
          <w:color w:val="auto"/>
          <w:sz w:val="24"/>
          <w:szCs w:val="24"/>
        </w:rPr>
        <w:t>[2014]68</w:t>
      </w:r>
      <w:r>
        <w:rPr>
          <w:rFonts w:hint="eastAsia"/>
          <w:color w:val="auto"/>
          <w:sz w:val="24"/>
          <w:szCs w:val="24"/>
        </w:rPr>
        <w:t>号）。</w:t>
      </w:r>
    </w:p>
    <w:p>
      <w:pPr>
        <w:pStyle w:val="20"/>
        <w:spacing w:line="400" w:lineRule="exact"/>
        <w:ind w:firstLine="480"/>
        <w:rPr>
          <w:rFonts w:cs="Calibri"/>
          <w:b/>
          <w:bCs/>
          <w:color w:val="auto"/>
          <w:sz w:val="24"/>
          <w:szCs w:val="24"/>
        </w:rPr>
      </w:pPr>
      <w:r>
        <w:rPr>
          <w:rFonts w:hint="eastAsia"/>
          <w:b/>
          <w:bCs/>
          <w:color w:val="auto"/>
          <w:sz w:val="24"/>
          <w:szCs w:val="24"/>
        </w:rPr>
        <w:t>五、残疾人福利单位、监狱企业属于小型、微型企业的，不重复享受政策。</w:t>
      </w:r>
    </w:p>
    <w:p>
      <w:pPr>
        <w:pStyle w:val="20"/>
        <w:spacing w:line="400" w:lineRule="exact"/>
        <w:ind w:firstLine="480"/>
        <w:rPr>
          <w:rFonts w:cs="Calibri"/>
          <w:b/>
          <w:bCs/>
          <w:color w:val="auto"/>
          <w:sz w:val="24"/>
          <w:szCs w:val="24"/>
        </w:rPr>
      </w:pPr>
      <w:r>
        <w:rPr>
          <w:rFonts w:hint="eastAsia"/>
          <w:b/>
          <w:bCs/>
          <w:color w:val="auto"/>
          <w:sz w:val="24"/>
          <w:szCs w:val="24"/>
        </w:rPr>
        <w:t>六、符合本采购文件优先采购</w:t>
      </w:r>
      <w:r>
        <w:rPr>
          <w:b/>
          <w:bCs/>
          <w:color w:val="auto"/>
          <w:sz w:val="24"/>
          <w:szCs w:val="24"/>
        </w:rPr>
        <w:t xml:space="preserve"> </w:t>
      </w:r>
      <w:r>
        <w:rPr>
          <w:rFonts w:hint="eastAsia"/>
          <w:b/>
          <w:bCs/>
          <w:color w:val="auto"/>
          <w:sz w:val="24"/>
          <w:szCs w:val="24"/>
        </w:rPr>
        <w:t>“环境标志产品”或“节能产品”的；必须提供“环境标志产品”或“节能产品”证明，否则不予认可。</w:t>
      </w:r>
    </w:p>
    <w:p>
      <w:pPr>
        <w:pStyle w:val="20"/>
        <w:spacing w:line="400" w:lineRule="exact"/>
        <w:ind w:firstLine="480"/>
        <w:rPr>
          <w:rFonts w:cs="Calibri"/>
          <w:b/>
          <w:bCs/>
          <w:color w:val="auto"/>
          <w:sz w:val="24"/>
          <w:szCs w:val="24"/>
        </w:rPr>
      </w:pPr>
      <w:r>
        <w:rPr>
          <w:rFonts w:hint="eastAsia"/>
          <w:color w:val="auto"/>
          <w:sz w:val="24"/>
          <w:szCs w:val="24"/>
        </w:rPr>
        <w:t>环境标志产品是指列入财政部、环境保护部最新公布的《环境标志产品政府采购清单》内的产品；节能产品是指列入财政部、国家发改委最新公布的《节能产品政府采购清单》内的产品。鼓励节能及环保政策以投标（响应）主要（核心）产品（品牌）为准。</w:t>
      </w:r>
    </w:p>
    <w:p>
      <w:pPr>
        <w:pStyle w:val="20"/>
        <w:numPr>
          <w:ilvl w:val="0"/>
          <w:numId w:val="1"/>
        </w:numPr>
        <w:spacing w:line="400" w:lineRule="exact"/>
        <w:ind w:firstLine="480"/>
        <w:rPr>
          <w:rFonts w:cs="Calibri"/>
          <w:b/>
          <w:bCs/>
          <w:color w:val="auto"/>
          <w:sz w:val="24"/>
          <w:szCs w:val="24"/>
        </w:rPr>
      </w:pPr>
      <w:r>
        <w:rPr>
          <w:rFonts w:hint="eastAsia"/>
          <w:b/>
          <w:bCs/>
          <w:color w:val="auto"/>
          <w:sz w:val="24"/>
          <w:szCs w:val="24"/>
        </w:rPr>
        <w:t>评分标准（总分值为</w:t>
      </w:r>
      <w:r>
        <w:rPr>
          <w:b/>
          <w:bCs/>
          <w:color w:val="auto"/>
          <w:sz w:val="24"/>
          <w:szCs w:val="24"/>
        </w:rPr>
        <w:t>100</w:t>
      </w:r>
      <w:r>
        <w:rPr>
          <w:rFonts w:hint="eastAsia"/>
          <w:b/>
          <w:bCs/>
          <w:color w:val="auto"/>
          <w:sz w:val="24"/>
          <w:szCs w:val="24"/>
        </w:rPr>
        <w:t>分）。</w:t>
      </w:r>
    </w:p>
    <w:tbl>
      <w:tblPr>
        <w:tblStyle w:val="43"/>
        <w:tblpPr w:leftFromText="180" w:rightFromText="180" w:vertAnchor="text" w:horzAnchor="page" w:tblpXSpec="center" w:tblpY="411"/>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33"/>
        <w:gridCol w:w="727"/>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jc w:val="center"/>
        </w:trPr>
        <w:tc>
          <w:tcPr>
            <w:tcW w:w="777" w:type="dxa"/>
            <w:noWrap w:val="0"/>
            <w:vAlign w:val="center"/>
          </w:tcPr>
          <w:p>
            <w:pPr>
              <w:spacing w:line="340" w:lineRule="exact"/>
              <w:jc w:val="center"/>
              <w:rPr>
                <w:rFonts w:ascii="宋体"/>
                <w:b/>
                <w:bCs/>
                <w:color w:val="auto"/>
              </w:rPr>
            </w:pPr>
            <w:r>
              <w:rPr>
                <w:rFonts w:hint="eastAsia" w:ascii="宋体" w:hAnsi="宋体" w:cs="宋体"/>
                <w:b/>
                <w:bCs/>
                <w:color w:val="auto"/>
              </w:rPr>
              <w:t>序号</w:t>
            </w:r>
          </w:p>
        </w:tc>
        <w:tc>
          <w:tcPr>
            <w:tcW w:w="1133" w:type="dxa"/>
            <w:noWrap w:val="0"/>
            <w:vAlign w:val="center"/>
          </w:tcPr>
          <w:p>
            <w:pPr>
              <w:spacing w:line="340" w:lineRule="exact"/>
              <w:jc w:val="center"/>
              <w:rPr>
                <w:rFonts w:ascii="宋体"/>
                <w:b/>
                <w:bCs/>
                <w:color w:val="auto"/>
              </w:rPr>
            </w:pPr>
            <w:r>
              <w:rPr>
                <w:rFonts w:hint="eastAsia" w:ascii="宋体" w:hAnsi="宋体" w:cs="宋体"/>
                <w:b/>
                <w:bCs/>
                <w:color w:val="auto"/>
              </w:rPr>
              <w:t>评分项</w:t>
            </w:r>
          </w:p>
        </w:tc>
        <w:tc>
          <w:tcPr>
            <w:tcW w:w="727" w:type="dxa"/>
            <w:noWrap w:val="0"/>
            <w:vAlign w:val="center"/>
          </w:tcPr>
          <w:p>
            <w:pPr>
              <w:spacing w:line="340" w:lineRule="exact"/>
              <w:jc w:val="center"/>
              <w:rPr>
                <w:rFonts w:ascii="宋体"/>
                <w:b/>
                <w:bCs/>
                <w:color w:val="auto"/>
              </w:rPr>
            </w:pPr>
            <w:r>
              <w:rPr>
                <w:rFonts w:hint="eastAsia" w:ascii="宋体" w:hAnsi="宋体" w:cs="宋体"/>
                <w:b/>
                <w:bCs/>
                <w:color w:val="auto"/>
              </w:rPr>
              <w:t>分值</w:t>
            </w:r>
          </w:p>
        </w:tc>
        <w:tc>
          <w:tcPr>
            <w:tcW w:w="7820" w:type="dxa"/>
            <w:noWrap w:val="0"/>
            <w:vAlign w:val="center"/>
          </w:tcPr>
          <w:p>
            <w:pPr>
              <w:spacing w:line="340" w:lineRule="exact"/>
              <w:ind w:firstLine="482"/>
              <w:jc w:val="center"/>
              <w:rPr>
                <w:rFonts w:ascii="宋体"/>
                <w:b/>
                <w:bCs/>
                <w:color w:val="auto"/>
              </w:rPr>
            </w:pPr>
            <w:r>
              <w:rPr>
                <w:rFonts w:hint="eastAsia" w:ascii="宋体" w:hAnsi="宋体" w:cs="宋体"/>
                <w:b/>
                <w:bCs/>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77" w:type="dxa"/>
            <w:noWrap w:val="0"/>
            <w:vAlign w:val="center"/>
          </w:tcPr>
          <w:p>
            <w:pPr>
              <w:spacing w:line="300" w:lineRule="exact"/>
              <w:jc w:val="center"/>
              <w:rPr>
                <w:rFonts w:ascii="宋体"/>
                <w:color w:val="auto"/>
              </w:rPr>
            </w:pPr>
            <w:r>
              <w:rPr>
                <w:rFonts w:hint="eastAsia" w:ascii="宋体" w:hAnsi="宋体" w:cs="宋体"/>
                <w:color w:val="auto"/>
              </w:rPr>
              <w:t>一</w:t>
            </w:r>
          </w:p>
        </w:tc>
        <w:tc>
          <w:tcPr>
            <w:tcW w:w="1133" w:type="dxa"/>
            <w:noWrap w:val="0"/>
            <w:vAlign w:val="center"/>
          </w:tcPr>
          <w:p>
            <w:pPr>
              <w:spacing w:line="300" w:lineRule="exact"/>
              <w:jc w:val="center"/>
              <w:rPr>
                <w:rFonts w:ascii="宋体"/>
                <w:color w:val="auto"/>
              </w:rPr>
            </w:pPr>
            <w:r>
              <w:rPr>
                <w:rFonts w:hint="eastAsia" w:ascii="宋体" w:hAnsi="宋体" w:cs="宋体"/>
                <w:color w:val="auto"/>
              </w:rPr>
              <w:t>报</w:t>
            </w:r>
            <w:r>
              <w:rPr>
                <w:rFonts w:ascii="宋体" w:hAnsi="宋体" w:cs="宋体"/>
                <w:color w:val="auto"/>
              </w:rPr>
              <w:t xml:space="preserve">  </w:t>
            </w:r>
            <w:r>
              <w:rPr>
                <w:rFonts w:hint="eastAsia" w:ascii="宋体" w:hAnsi="宋体" w:cs="宋体"/>
                <w:color w:val="auto"/>
              </w:rPr>
              <w:t>价</w:t>
            </w:r>
          </w:p>
          <w:p>
            <w:pPr>
              <w:spacing w:line="300" w:lineRule="exact"/>
              <w:jc w:val="center"/>
              <w:rPr>
                <w:rFonts w:ascii="宋体"/>
                <w:color w:val="auto"/>
              </w:rPr>
            </w:pPr>
            <w:r>
              <w:rPr>
                <w:rFonts w:hint="eastAsia" w:ascii="宋体" w:hAnsi="宋体" w:cs="宋体"/>
                <w:color w:val="auto"/>
              </w:rPr>
              <w:t>（</w:t>
            </w:r>
            <w:r>
              <w:rPr>
                <w:rFonts w:ascii="宋体" w:hAnsi="宋体" w:cs="宋体"/>
                <w:color w:val="auto"/>
              </w:rPr>
              <w:t>30</w:t>
            </w:r>
            <w:r>
              <w:rPr>
                <w:rFonts w:hint="eastAsia" w:ascii="宋体" w:hAnsi="宋体" w:cs="宋体"/>
                <w:color w:val="auto"/>
              </w:rPr>
              <w:t>分）</w:t>
            </w:r>
          </w:p>
        </w:tc>
        <w:tc>
          <w:tcPr>
            <w:tcW w:w="727" w:type="dxa"/>
            <w:noWrap w:val="0"/>
            <w:vAlign w:val="center"/>
          </w:tcPr>
          <w:p>
            <w:pPr>
              <w:spacing w:line="300" w:lineRule="exact"/>
              <w:jc w:val="center"/>
              <w:rPr>
                <w:rFonts w:ascii="宋体"/>
                <w:b/>
                <w:bCs/>
                <w:color w:val="auto"/>
              </w:rPr>
            </w:pPr>
            <w:r>
              <w:rPr>
                <w:rFonts w:ascii="宋体" w:hAnsi="宋体" w:cs="宋体"/>
                <w:color w:val="auto"/>
              </w:rPr>
              <w:t>30</w:t>
            </w:r>
            <w:r>
              <w:rPr>
                <w:rFonts w:hint="eastAsia" w:ascii="宋体" w:hAnsi="宋体" w:cs="宋体"/>
                <w:color w:val="auto"/>
              </w:rPr>
              <w:t>分</w:t>
            </w:r>
          </w:p>
        </w:tc>
        <w:tc>
          <w:tcPr>
            <w:tcW w:w="7820" w:type="dxa"/>
            <w:noWrap w:val="0"/>
            <w:vAlign w:val="center"/>
          </w:tcPr>
          <w:p>
            <w:pPr>
              <w:ind w:firstLine="360"/>
              <w:rPr>
                <w:rFonts w:ascii="宋体"/>
                <w:color w:val="auto"/>
              </w:rPr>
            </w:pPr>
            <w:r>
              <w:rPr>
                <w:rFonts w:hint="eastAsia" w:ascii="宋体" w:hAnsi="宋体" w:cs="宋体"/>
                <w:color w:val="auto"/>
              </w:rPr>
              <w:t>满足招标文件要求且投标价格最低的有效投标报价为评标基准价，其价格分为满分</w:t>
            </w:r>
            <w:r>
              <w:rPr>
                <w:rFonts w:ascii="宋体" w:hAnsi="宋体" w:cs="宋体"/>
                <w:color w:val="auto"/>
              </w:rPr>
              <w:t>30</w:t>
            </w:r>
            <w:r>
              <w:rPr>
                <w:rFonts w:hint="eastAsia" w:ascii="宋体" w:hAnsi="宋体" w:cs="宋体"/>
                <w:color w:val="auto"/>
              </w:rPr>
              <w:t>分。</w:t>
            </w:r>
          </w:p>
          <w:p>
            <w:pPr>
              <w:ind w:firstLine="360"/>
              <w:rPr>
                <w:rFonts w:ascii="宋体"/>
                <w:color w:val="auto"/>
              </w:rPr>
            </w:pPr>
            <w:r>
              <w:rPr>
                <w:rFonts w:hint="eastAsia" w:ascii="宋体" w:hAnsi="宋体" w:cs="宋体"/>
                <w:color w:val="auto"/>
              </w:rPr>
              <w:t>其他投标人的价格分统一按照下列公式计算：投标报价得分</w:t>
            </w:r>
            <w:r>
              <w:rPr>
                <w:rFonts w:ascii="宋体" w:hAnsi="宋体" w:cs="宋体"/>
                <w:color w:val="auto"/>
              </w:rPr>
              <w:t>=</w:t>
            </w:r>
            <w:r>
              <w:rPr>
                <w:rFonts w:hint="eastAsia" w:ascii="宋体" w:hAnsi="宋体" w:cs="宋体"/>
                <w:color w:val="auto"/>
              </w:rPr>
              <w:t>（评标基准价</w:t>
            </w:r>
            <w:r>
              <w:rPr>
                <w:rFonts w:ascii="宋体" w:hAnsi="宋体" w:cs="宋体"/>
                <w:color w:val="auto"/>
              </w:rPr>
              <w:t>/</w:t>
            </w:r>
            <w:r>
              <w:rPr>
                <w:rFonts w:hint="eastAsia" w:ascii="宋体" w:hAnsi="宋体" w:cs="宋体"/>
                <w:color w:val="auto"/>
              </w:rPr>
              <w:t>投标报价）×</w:t>
            </w:r>
            <w:r>
              <w:rPr>
                <w:rFonts w:ascii="宋体" w:hAnsi="宋体" w:cs="宋体"/>
                <w:color w:val="auto"/>
              </w:rPr>
              <w:t>30</w:t>
            </w:r>
            <w:r>
              <w:rPr>
                <w:rFonts w:hint="eastAsia" w:ascii="宋体" w:hAnsi="宋体" w:cs="宋体"/>
                <w:color w:val="auto"/>
              </w:rPr>
              <w:t>，结果保留两位小数（有效投标文件是指未被评标委员会判定为无效标的投标文件）。</w:t>
            </w:r>
          </w:p>
          <w:p>
            <w:pPr>
              <w:ind w:firstLine="360"/>
              <w:rPr>
                <w:rFonts w:ascii="宋体"/>
                <w:color w:val="auto"/>
              </w:rPr>
            </w:pPr>
            <w:r>
              <w:rPr>
                <w:rFonts w:hint="eastAsia" w:ascii="宋体" w:hAnsi="宋体" w:cs="宋体"/>
                <w:b/>
                <w:bCs/>
                <w:color w:val="auto"/>
              </w:rPr>
              <w:t>注：小微企业、残疾人福利单位、监狱和戒毒企业优惠政策详见本文第四章第二～五项。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77" w:type="dxa"/>
            <w:noWrap w:val="0"/>
            <w:vAlign w:val="center"/>
          </w:tcPr>
          <w:p>
            <w:pPr>
              <w:spacing w:line="300" w:lineRule="exact"/>
              <w:jc w:val="center"/>
              <w:rPr>
                <w:rFonts w:ascii="宋体"/>
                <w:color w:val="auto"/>
              </w:rPr>
            </w:pPr>
            <w:r>
              <w:rPr>
                <w:rFonts w:hint="eastAsia" w:ascii="宋体" w:hAnsi="宋体" w:cs="宋体"/>
                <w:color w:val="auto"/>
              </w:rPr>
              <w:t>二</w:t>
            </w:r>
          </w:p>
        </w:tc>
        <w:tc>
          <w:tcPr>
            <w:tcW w:w="1133" w:type="dxa"/>
            <w:noWrap w:val="0"/>
            <w:vAlign w:val="center"/>
          </w:tcPr>
          <w:p>
            <w:pPr>
              <w:spacing w:line="300" w:lineRule="exact"/>
              <w:jc w:val="center"/>
              <w:rPr>
                <w:rFonts w:ascii="宋体"/>
                <w:color w:val="auto"/>
              </w:rPr>
            </w:pPr>
            <w:r>
              <w:rPr>
                <w:rFonts w:hint="eastAsia" w:ascii="宋体" w:hAnsi="宋体" w:cs="宋体"/>
                <w:color w:val="auto"/>
              </w:rPr>
              <w:t>技术参数</w:t>
            </w:r>
          </w:p>
          <w:p>
            <w:pPr>
              <w:spacing w:line="300" w:lineRule="exact"/>
              <w:jc w:val="center"/>
              <w:rPr>
                <w:rFonts w:ascii="宋体"/>
                <w:color w:val="auto"/>
              </w:rPr>
            </w:pPr>
            <w:r>
              <w:rPr>
                <w:rFonts w:hint="eastAsia" w:ascii="宋体" w:hAnsi="宋体" w:cs="宋体"/>
                <w:color w:val="auto"/>
              </w:rPr>
              <w:t>响应情况</w:t>
            </w:r>
          </w:p>
          <w:p>
            <w:pPr>
              <w:spacing w:line="300" w:lineRule="exact"/>
              <w:jc w:val="center"/>
              <w:rPr>
                <w:rFonts w:ascii="宋体"/>
                <w:color w:val="auto"/>
              </w:rPr>
            </w:pPr>
            <w:r>
              <w:rPr>
                <w:rFonts w:hint="eastAsia" w:ascii="宋体" w:hAnsi="宋体" w:cs="宋体"/>
                <w:color w:val="auto"/>
              </w:rPr>
              <w:t>（</w:t>
            </w:r>
            <w:r>
              <w:rPr>
                <w:rFonts w:ascii="宋体" w:hAnsi="宋体" w:cs="宋体"/>
                <w:color w:val="auto"/>
              </w:rPr>
              <w:t>40</w:t>
            </w:r>
            <w:r>
              <w:rPr>
                <w:rFonts w:hint="eastAsia" w:ascii="宋体" w:hAnsi="宋体" w:cs="宋体"/>
                <w:color w:val="auto"/>
              </w:rPr>
              <w:t>分）</w:t>
            </w:r>
          </w:p>
        </w:tc>
        <w:tc>
          <w:tcPr>
            <w:tcW w:w="727" w:type="dxa"/>
            <w:noWrap w:val="0"/>
            <w:vAlign w:val="center"/>
          </w:tcPr>
          <w:p>
            <w:pPr>
              <w:widowControl/>
              <w:spacing w:line="480" w:lineRule="exact"/>
              <w:jc w:val="center"/>
              <w:rPr>
                <w:rFonts w:ascii="宋体"/>
                <w:color w:val="auto"/>
              </w:rPr>
            </w:pPr>
            <w:r>
              <w:rPr>
                <w:rFonts w:ascii="宋体" w:hAnsi="宋体" w:cs="宋体"/>
                <w:color w:val="auto"/>
              </w:rPr>
              <w:t>40</w:t>
            </w:r>
            <w:r>
              <w:rPr>
                <w:rFonts w:hint="eastAsia" w:ascii="宋体" w:hAnsi="宋体" w:cs="宋体"/>
                <w:color w:val="auto"/>
              </w:rPr>
              <w:t>分</w:t>
            </w:r>
          </w:p>
        </w:tc>
        <w:tc>
          <w:tcPr>
            <w:tcW w:w="7820" w:type="dxa"/>
            <w:noWrap w:val="0"/>
            <w:vAlign w:val="center"/>
          </w:tcPr>
          <w:p>
            <w:pPr>
              <w:ind w:firstLine="360"/>
              <w:rPr>
                <w:rFonts w:ascii="宋体"/>
                <w:color w:val="auto"/>
              </w:rPr>
            </w:pPr>
            <w:r>
              <w:rPr>
                <w:rFonts w:hint="eastAsia" w:ascii="宋体" w:hAnsi="宋体" w:cs="宋体"/>
                <w:color w:val="auto"/>
              </w:rPr>
              <w:t>满足招标文件技术要求响应偏离表中各条目，全部符合要求得</w:t>
            </w:r>
            <w:r>
              <w:rPr>
                <w:rFonts w:ascii="宋体" w:hAnsi="宋体" w:cs="宋体"/>
                <w:color w:val="auto"/>
              </w:rPr>
              <w:t>40</w:t>
            </w:r>
            <w:r>
              <w:rPr>
                <w:rFonts w:hint="eastAsia" w:ascii="宋体" w:hAnsi="宋体" w:cs="宋体"/>
                <w:color w:val="auto"/>
              </w:rPr>
              <w:t>分，分重要技术参数要求（加★项）和一般技术参数要求。</w:t>
            </w:r>
          </w:p>
          <w:p>
            <w:pPr>
              <w:ind w:firstLine="360"/>
              <w:rPr>
                <w:rFonts w:ascii="宋体"/>
                <w:color w:val="auto"/>
              </w:rPr>
            </w:pPr>
            <w:r>
              <w:rPr>
                <w:rFonts w:ascii="宋体" w:hAnsi="宋体" w:cs="宋体"/>
                <w:color w:val="auto"/>
              </w:rPr>
              <w:t>1</w:t>
            </w:r>
            <w:r>
              <w:rPr>
                <w:rFonts w:hint="eastAsia" w:ascii="宋体" w:hAnsi="宋体" w:cs="宋体"/>
                <w:color w:val="auto"/>
              </w:rPr>
              <w:t>、重要技术参数要求（加★项），每出现一条负偏离的，扣</w:t>
            </w:r>
            <w:r>
              <w:rPr>
                <w:rFonts w:ascii="宋体" w:hAnsi="宋体" w:cs="宋体"/>
                <w:color w:val="auto"/>
              </w:rPr>
              <w:t>5</w:t>
            </w:r>
            <w:r>
              <w:rPr>
                <w:rFonts w:hint="eastAsia" w:ascii="宋体" w:hAnsi="宋体" w:cs="宋体"/>
                <w:color w:val="auto"/>
              </w:rPr>
              <w:t>分，扣完为止。</w:t>
            </w:r>
          </w:p>
          <w:p>
            <w:pPr>
              <w:ind w:firstLine="360"/>
              <w:rPr>
                <w:rFonts w:ascii="宋体"/>
                <w:color w:val="auto"/>
              </w:rPr>
            </w:pPr>
            <w:r>
              <w:rPr>
                <w:rFonts w:ascii="宋体" w:hAnsi="宋体" w:cs="宋体"/>
                <w:color w:val="auto"/>
              </w:rPr>
              <w:t>2</w:t>
            </w:r>
            <w:r>
              <w:rPr>
                <w:rFonts w:hint="eastAsia" w:ascii="宋体" w:hAnsi="宋体" w:cs="宋体"/>
                <w:color w:val="auto"/>
              </w:rPr>
              <w:t>、一般技术参数要求，每出现一条负偏离的，扣</w:t>
            </w:r>
            <w:r>
              <w:rPr>
                <w:rFonts w:ascii="宋体" w:hAnsi="宋体" w:cs="宋体"/>
                <w:color w:val="auto"/>
              </w:rPr>
              <w:t xml:space="preserve"> 2</w:t>
            </w:r>
            <w:r>
              <w:rPr>
                <w:rFonts w:hint="eastAsia" w:ascii="宋体" w:hAnsi="宋体" w:cs="宋体"/>
                <w:color w:val="auto"/>
              </w:rPr>
              <w:t>分，扣完为止。</w:t>
            </w:r>
          </w:p>
          <w:p>
            <w:pPr>
              <w:ind w:firstLine="360"/>
              <w:rPr>
                <w:rFonts w:ascii="宋体"/>
                <w:b/>
                <w:bCs/>
                <w:color w:val="auto"/>
              </w:rPr>
            </w:pPr>
            <w:r>
              <w:rPr>
                <w:rFonts w:hint="eastAsia" w:ascii="宋体" w:hAnsi="宋体" w:cs="宋体"/>
                <w:b/>
                <w:bCs/>
                <w:color w:val="auto"/>
              </w:rPr>
              <w:t>注：</w:t>
            </w:r>
          </w:p>
          <w:p>
            <w:pPr>
              <w:ind w:firstLine="360"/>
              <w:rPr>
                <w:rFonts w:ascii="宋体"/>
                <w:b/>
                <w:bCs/>
                <w:color w:val="auto"/>
              </w:rPr>
            </w:pPr>
            <w:r>
              <w:rPr>
                <w:rFonts w:hint="eastAsia" w:ascii="宋体" w:hAnsi="宋体" w:cs="宋体"/>
                <w:b/>
                <w:bCs/>
                <w:color w:val="auto"/>
              </w:rPr>
              <w:t>（</w:t>
            </w:r>
            <w:r>
              <w:rPr>
                <w:rFonts w:ascii="宋体" w:hAnsi="宋体" w:cs="宋体"/>
                <w:b/>
                <w:bCs/>
                <w:color w:val="auto"/>
              </w:rPr>
              <w:t>1</w:t>
            </w:r>
            <w:r>
              <w:rPr>
                <w:rFonts w:hint="eastAsia" w:ascii="宋体" w:hAnsi="宋体" w:cs="宋体"/>
                <w:b/>
                <w:bCs/>
                <w:color w:val="auto"/>
              </w:rPr>
              <w:t>）技术参数中要求提供的证明材料的以证明材料原件加盖投标单位公章的原件扫描件为准，其他参数以提供的技术参数响应表加盖投标单位公章的原件扫描件为准；</w:t>
            </w:r>
          </w:p>
          <w:p>
            <w:pPr>
              <w:ind w:firstLine="360"/>
              <w:rPr>
                <w:rFonts w:ascii="宋体"/>
                <w:color w:val="auto"/>
                <w:spacing w:val="-2"/>
              </w:rPr>
            </w:pPr>
            <w:r>
              <w:rPr>
                <w:rFonts w:hint="eastAsia" w:ascii="宋体" w:hAnsi="宋体" w:cs="宋体"/>
                <w:b/>
                <w:bCs/>
                <w:color w:val="auto"/>
              </w:rPr>
              <w:t>（</w:t>
            </w:r>
            <w:r>
              <w:rPr>
                <w:rFonts w:ascii="宋体" w:hAnsi="宋体" w:cs="宋体"/>
                <w:b/>
                <w:bCs/>
                <w:color w:val="auto"/>
              </w:rPr>
              <w:t>2</w:t>
            </w:r>
            <w:r>
              <w:rPr>
                <w:rFonts w:hint="eastAsia" w:ascii="宋体" w:hAnsi="宋体" w:cs="宋体"/>
                <w:b/>
                <w:bCs/>
                <w:color w:val="auto"/>
              </w:rPr>
              <w:t>）技术参数中每一小条为一项。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77" w:type="dxa"/>
            <w:noWrap w:val="0"/>
            <w:vAlign w:val="center"/>
          </w:tcPr>
          <w:p>
            <w:pPr>
              <w:jc w:val="center"/>
              <w:rPr>
                <w:rFonts w:ascii="宋体"/>
                <w:color w:val="auto"/>
              </w:rPr>
            </w:pPr>
            <w:r>
              <w:rPr>
                <w:rFonts w:hint="eastAsia" w:ascii="宋体" w:hAnsi="宋体" w:cs="宋体"/>
                <w:color w:val="auto"/>
              </w:rPr>
              <w:t>三</w:t>
            </w:r>
          </w:p>
        </w:tc>
        <w:tc>
          <w:tcPr>
            <w:tcW w:w="1133" w:type="dxa"/>
            <w:noWrap w:val="0"/>
            <w:vAlign w:val="center"/>
          </w:tcPr>
          <w:p>
            <w:pPr>
              <w:rPr>
                <w:rFonts w:ascii="宋体"/>
                <w:color w:val="auto"/>
              </w:rPr>
            </w:pPr>
            <w:r>
              <w:rPr>
                <w:rFonts w:hint="eastAsia" w:ascii="宋体" w:hAnsi="宋体" w:cs="宋体"/>
                <w:color w:val="auto"/>
              </w:rPr>
              <w:t>技术方案</w:t>
            </w:r>
          </w:p>
          <w:p>
            <w:pPr>
              <w:rPr>
                <w:rFonts w:ascii="宋体"/>
                <w:color w:val="auto"/>
              </w:rPr>
            </w:pPr>
            <w:r>
              <w:rPr>
                <w:rFonts w:hint="eastAsia" w:ascii="宋体" w:hAnsi="宋体" w:cs="宋体"/>
                <w:color w:val="auto"/>
              </w:rPr>
              <w:t>（</w:t>
            </w:r>
            <w:r>
              <w:rPr>
                <w:rFonts w:ascii="宋体" w:hAnsi="宋体" w:cs="宋体"/>
                <w:color w:val="auto"/>
              </w:rPr>
              <w:t>20</w:t>
            </w:r>
            <w:r>
              <w:rPr>
                <w:rFonts w:hint="eastAsia" w:ascii="宋体" w:hAnsi="宋体" w:cs="宋体"/>
                <w:color w:val="auto"/>
              </w:rPr>
              <w:t>分）</w:t>
            </w:r>
          </w:p>
        </w:tc>
        <w:tc>
          <w:tcPr>
            <w:tcW w:w="727" w:type="dxa"/>
            <w:noWrap w:val="0"/>
            <w:vAlign w:val="center"/>
          </w:tcPr>
          <w:p>
            <w:pPr>
              <w:rPr>
                <w:rFonts w:ascii="宋体"/>
                <w:color w:val="auto"/>
              </w:rPr>
            </w:pPr>
            <w:r>
              <w:rPr>
                <w:rFonts w:ascii="宋体" w:hAnsi="宋体" w:cs="宋体"/>
                <w:color w:val="auto"/>
              </w:rPr>
              <w:t>20</w:t>
            </w:r>
            <w:r>
              <w:rPr>
                <w:rFonts w:hint="eastAsia" w:ascii="宋体" w:hAnsi="宋体" w:cs="宋体"/>
                <w:color w:val="auto"/>
              </w:rPr>
              <w:t>分</w:t>
            </w:r>
          </w:p>
        </w:tc>
        <w:tc>
          <w:tcPr>
            <w:tcW w:w="7820" w:type="dxa"/>
            <w:noWrap w:val="0"/>
            <w:vAlign w:val="center"/>
          </w:tcPr>
          <w:p>
            <w:pPr>
              <w:ind w:firstLine="360"/>
              <w:rPr>
                <w:rFonts w:ascii="宋体"/>
                <w:color w:val="auto"/>
              </w:rPr>
            </w:pPr>
            <w:r>
              <w:rPr>
                <w:rFonts w:hint="eastAsia" w:ascii="宋体" w:hAnsi="宋体" w:cs="宋体"/>
                <w:color w:val="auto"/>
              </w:rPr>
              <w:t>投标人提供总体技术方案，针对下列方面进行评审：</w:t>
            </w:r>
          </w:p>
          <w:p>
            <w:pPr>
              <w:ind w:firstLine="361"/>
              <w:rPr>
                <w:rFonts w:ascii="宋体"/>
                <w:b/>
                <w:bCs/>
                <w:color w:val="auto"/>
              </w:rPr>
            </w:pPr>
            <w:r>
              <w:rPr>
                <w:rFonts w:hint="eastAsia" w:ascii="宋体" w:hAnsi="宋体" w:cs="宋体"/>
                <w:b/>
                <w:bCs/>
                <w:color w:val="auto"/>
              </w:rPr>
              <w:t>一、可研性：</w:t>
            </w:r>
          </w:p>
          <w:p>
            <w:pPr>
              <w:ind w:firstLine="420"/>
              <w:rPr>
                <w:rFonts w:ascii="宋体"/>
                <w:color w:val="auto"/>
              </w:rPr>
            </w:pPr>
            <w:r>
              <w:rPr>
                <w:rFonts w:hint="eastAsia" w:ascii="宋体" w:hAnsi="宋体" w:cs="宋体"/>
                <w:color w:val="auto"/>
              </w:rPr>
              <w:t>①对现状深入调研，对各校基础设施及应用现状描述、建设需求理解准确，设计全面，内容完整的得</w:t>
            </w:r>
            <w:r>
              <w:rPr>
                <w:rFonts w:ascii="宋体" w:hAnsi="宋体" w:cs="宋体"/>
                <w:color w:val="auto"/>
              </w:rPr>
              <w:t>5</w:t>
            </w:r>
            <w:r>
              <w:rPr>
                <w:rFonts w:hint="eastAsia" w:ascii="宋体" w:hAnsi="宋体" w:cs="宋体"/>
                <w:color w:val="auto"/>
              </w:rPr>
              <w:t>分；</w:t>
            </w:r>
          </w:p>
          <w:p>
            <w:pPr>
              <w:ind w:firstLine="420"/>
              <w:rPr>
                <w:rFonts w:ascii="宋体"/>
                <w:color w:val="auto"/>
              </w:rPr>
            </w:pPr>
            <w:r>
              <w:rPr>
                <w:rFonts w:hint="eastAsia" w:ascii="宋体" w:hAnsi="宋体" w:cs="宋体"/>
                <w:color w:val="auto"/>
              </w:rPr>
              <w:t>②对现状深入调研，对各校基础设施及应用现状描述、建设需求理解准确，设计全面，内容较完整的得</w:t>
            </w:r>
            <w:r>
              <w:rPr>
                <w:rFonts w:ascii="宋体" w:hAnsi="宋体" w:cs="宋体"/>
                <w:color w:val="auto"/>
              </w:rPr>
              <w:t>4.5</w:t>
            </w:r>
            <w:r>
              <w:rPr>
                <w:rFonts w:hint="eastAsia" w:ascii="宋体" w:hAnsi="宋体" w:cs="宋体"/>
                <w:color w:val="auto"/>
              </w:rPr>
              <w:t>分；</w:t>
            </w:r>
          </w:p>
          <w:p>
            <w:pPr>
              <w:ind w:firstLine="420"/>
              <w:rPr>
                <w:rFonts w:ascii="宋体"/>
                <w:color w:val="auto"/>
              </w:rPr>
            </w:pPr>
            <w:r>
              <w:rPr>
                <w:rFonts w:hint="eastAsia" w:ascii="宋体" w:hAnsi="宋体" w:cs="宋体"/>
                <w:color w:val="auto"/>
              </w:rPr>
              <w:t>③对各校基础设施及应用现状描述、建设需求理解准确，设计全面，内容一般的得</w:t>
            </w:r>
            <w:r>
              <w:rPr>
                <w:rFonts w:ascii="宋体" w:hAnsi="宋体" w:cs="宋体"/>
                <w:color w:val="auto"/>
              </w:rPr>
              <w:t>4</w:t>
            </w:r>
            <w:r>
              <w:rPr>
                <w:rFonts w:hint="eastAsia" w:ascii="宋体" w:hAnsi="宋体" w:cs="宋体"/>
                <w:color w:val="auto"/>
              </w:rPr>
              <w:t>分；</w:t>
            </w:r>
          </w:p>
          <w:p>
            <w:pPr>
              <w:ind w:firstLine="360"/>
              <w:rPr>
                <w:rFonts w:ascii="宋体"/>
                <w:b/>
                <w:bCs/>
                <w:color w:val="auto"/>
              </w:rPr>
            </w:pPr>
            <w:r>
              <w:rPr>
                <w:rFonts w:hint="eastAsia" w:ascii="宋体" w:hAnsi="宋体" w:cs="宋体"/>
                <w:color w:val="auto"/>
              </w:rPr>
              <w:t>注：内容不完整或未提供本项内容的本项不得分。</w:t>
            </w:r>
          </w:p>
          <w:p>
            <w:pPr>
              <w:ind w:firstLine="361"/>
              <w:rPr>
                <w:rFonts w:ascii="宋体"/>
                <w:b/>
                <w:bCs/>
                <w:color w:val="auto"/>
              </w:rPr>
            </w:pPr>
            <w:r>
              <w:rPr>
                <w:rFonts w:hint="eastAsia" w:ascii="宋体" w:hAnsi="宋体" w:cs="宋体"/>
                <w:b/>
                <w:bCs/>
                <w:color w:val="auto"/>
              </w:rPr>
              <w:t>二、先进性：</w:t>
            </w:r>
          </w:p>
          <w:p>
            <w:pPr>
              <w:ind w:firstLine="420"/>
              <w:rPr>
                <w:rFonts w:ascii="宋体"/>
                <w:color w:val="auto"/>
              </w:rPr>
            </w:pPr>
            <w:r>
              <w:rPr>
                <w:rFonts w:hint="eastAsia" w:ascii="宋体" w:hAnsi="宋体" w:cs="宋体"/>
                <w:color w:val="auto"/>
              </w:rPr>
              <w:t>①系统方案设计合理，技术可行，不但能反映当今的先进技术和理念，而且具有发展潜力，能适应未来的业务快速增长。主要技术和产品成熟、稳定、实用等，内容完整得</w:t>
            </w:r>
            <w:r>
              <w:rPr>
                <w:rFonts w:ascii="宋体" w:hAnsi="宋体" w:cs="宋体"/>
                <w:color w:val="auto"/>
              </w:rPr>
              <w:t>5</w:t>
            </w:r>
            <w:r>
              <w:rPr>
                <w:rFonts w:hint="eastAsia" w:ascii="宋体" w:hAnsi="宋体" w:cs="宋体"/>
                <w:color w:val="auto"/>
              </w:rPr>
              <w:t>分；</w:t>
            </w:r>
          </w:p>
          <w:p>
            <w:pPr>
              <w:ind w:firstLine="420"/>
              <w:rPr>
                <w:rFonts w:ascii="宋体"/>
                <w:color w:val="auto"/>
              </w:rPr>
            </w:pPr>
            <w:r>
              <w:rPr>
                <w:rFonts w:hint="eastAsia" w:ascii="宋体" w:hAnsi="宋体" w:cs="宋体"/>
                <w:color w:val="auto"/>
              </w:rPr>
              <w:t>②主要技术和产品成熟、稳定、实用等，内容较完整得</w:t>
            </w:r>
            <w:r>
              <w:rPr>
                <w:rFonts w:ascii="宋体" w:hAnsi="宋体" w:cs="宋体"/>
                <w:color w:val="auto"/>
              </w:rPr>
              <w:t>4.5</w:t>
            </w:r>
            <w:r>
              <w:rPr>
                <w:rFonts w:hint="eastAsia" w:ascii="宋体" w:hAnsi="宋体" w:cs="宋体"/>
                <w:color w:val="auto"/>
              </w:rPr>
              <w:t>分；</w:t>
            </w:r>
          </w:p>
          <w:p>
            <w:pPr>
              <w:ind w:firstLine="420"/>
              <w:rPr>
                <w:rFonts w:ascii="宋体"/>
                <w:color w:val="auto"/>
              </w:rPr>
            </w:pPr>
            <w:r>
              <w:rPr>
                <w:rFonts w:hint="eastAsia" w:ascii="宋体" w:hAnsi="宋体" w:cs="宋体"/>
                <w:color w:val="auto"/>
              </w:rPr>
              <w:t>③主要技术和产品成熟、稳定、实用等，内容一般得</w:t>
            </w:r>
            <w:r>
              <w:rPr>
                <w:rFonts w:ascii="宋体" w:hAnsi="宋体" w:cs="宋体"/>
                <w:color w:val="auto"/>
              </w:rPr>
              <w:t>4</w:t>
            </w:r>
            <w:r>
              <w:rPr>
                <w:rFonts w:hint="eastAsia" w:ascii="宋体" w:hAnsi="宋体" w:cs="宋体"/>
                <w:color w:val="auto"/>
              </w:rPr>
              <w:t>分；</w:t>
            </w:r>
          </w:p>
          <w:p>
            <w:pPr>
              <w:ind w:firstLine="420"/>
              <w:rPr>
                <w:rFonts w:ascii="宋体"/>
                <w:color w:val="auto"/>
              </w:rPr>
            </w:pPr>
            <w:r>
              <w:rPr>
                <w:rFonts w:hint="eastAsia" w:ascii="宋体" w:hAnsi="宋体" w:cs="宋体"/>
                <w:color w:val="auto"/>
              </w:rPr>
              <w:t>注：内容不完整或未提供本项内容的本项不得分。</w:t>
            </w:r>
          </w:p>
          <w:p>
            <w:pPr>
              <w:ind w:firstLine="361"/>
              <w:rPr>
                <w:rFonts w:ascii="宋体"/>
                <w:b/>
                <w:bCs/>
                <w:color w:val="auto"/>
              </w:rPr>
            </w:pPr>
            <w:r>
              <w:rPr>
                <w:rFonts w:hint="eastAsia" w:ascii="宋体" w:hAnsi="宋体" w:cs="宋体"/>
                <w:b/>
                <w:bCs/>
                <w:color w:val="auto"/>
              </w:rPr>
              <w:t>三、扩展性：</w:t>
            </w:r>
          </w:p>
          <w:p>
            <w:pPr>
              <w:ind w:firstLine="420"/>
              <w:rPr>
                <w:rFonts w:ascii="宋体"/>
                <w:color w:val="auto"/>
              </w:rPr>
            </w:pPr>
            <w:r>
              <w:rPr>
                <w:rFonts w:hint="eastAsia" w:ascii="宋体" w:hAnsi="宋体" w:cs="宋体"/>
                <w:color w:val="auto"/>
              </w:rPr>
              <w:t>①在考虑先进性的同时，具备高度的扩展性，确保系统后期运行发展的可持续性，保证系统延伸扩展，内容完整的得</w:t>
            </w:r>
            <w:r>
              <w:rPr>
                <w:rFonts w:ascii="宋体" w:hAnsi="宋体" w:cs="宋体"/>
                <w:color w:val="auto"/>
              </w:rPr>
              <w:t>5</w:t>
            </w:r>
            <w:r>
              <w:rPr>
                <w:rFonts w:hint="eastAsia" w:ascii="宋体" w:hAnsi="宋体" w:cs="宋体"/>
                <w:color w:val="auto"/>
              </w:rPr>
              <w:t>分；</w:t>
            </w:r>
          </w:p>
          <w:p>
            <w:pPr>
              <w:ind w:firstLine="420"/>
              <w:rPr>
                <w:rFonts w:ascii="宋体"/>
                <w:color w:val="auto"/>
              </w:rPr>
            </w:pPr>
            <w:r>
              <w:rPr>
                <w:rFonts w:hint="eastAsia" w:ascii="宋体" w:hAnsi="宋体" w:cs="宋体"/>
                <w:color w:val="auto"/>
              </w:rPr>
              <w:t>②在考虑先进性的同时，具备高度的扩展性，确保系统后期运行发展的可持续性，保证系统延伸扩展，内容较完整得</w:t>
            </w:r>
            <w:r>
              <w:rPr>
                <w:rFonts w:ascii="宋体" w:hAnsi="宋体" w:cs="宋体"/>
                <w:color w:val="auto"/>
              </w:rPr>
              <w:t>4.5</w:t>
            </w:r>
            <w:r>
              <w:rPr>
                <w:rFonts w:hint="eastAsia" w:ascii="宋体" w:hAnsi="宋体" w:cs="宋体"/>
                <w:color w:val="auto"/>
              </w:rPr>
              <w:t>分；</w:t>
            </w:r>
          </w:p>
          <w:p>
            <w:pPr>
              <w:ind w:firstLine="420"/>
              <w:rPr>
                <w:rFonts w:ascii="宋体"/>
                <w:color w:val="auto"/>
              </w:rPr>
            </w:pPr>
            <w:r>
              <w:rPr>
                <w:rFonts w:hint="eastAsia" w:ascii="宋体" w:hAnsi="宋体" w:cs="宋体"/>
                <w:color w:val="auto"/>
              </w:rPr>
              <w:t>③在考虑先进性的同时，具备高度的扩展性，确保系统后期运行发展的可持续性，保证系统延伸扩展，内容一般得</w:t>
            </w:r>
            <w:r>
              <w:rPr>
                <w:rFonts w:ascii="宋体" w:hAnsi="宋体" w:cs="宋体"/>
                <w:color w:val="auto"/>
              </w:rPr>
              <w:t>4</w:t>
            </w:r>
            <w:r>
              <w:rPr>
                <w:rFonts w:hint="eastAsia" w:ascii="宋体" w:hAnsi="宋体" w:cs="宋体"/>
                <w:color w:val="auto"/>
              </w:rPr>
              <w:t>分；</w:t>
            </w:r>
          </w:p>
          <w:p>
            <w:pPr>
              <w:ind w:firstLine="420"/>
              <w:rPr>
                <w:rFonts w:ascii="宋体"/>
                <w:color w:val="auto"/>
              </w:rPr>
            </w:pPr>
            <w:r>
              <w:rPr>
                <w:rFonts w:hint="eastAsia" w:ascii="宋体" w:hAnsi="宋体" w:cs="宋体"/>
                <w:color w:val="auto"/>
              </w:rPr>
              <w:t>注：内容不完整或未提供本项内容的本项不得分。</w:t>
            </w:r>
          </w:p>
          <w:p>
            <w:pPr>
              <w:ind w:firstLine="361"/>
              <w:rPr>
                <w:rFonts w:ascii="宋体"/>
                <w:b/>
                <w:bCs/>
                <w:color w:val="auto"/>
              </w:rPr>
            </w:pPr>
            <w:r>
              <w:rPr>
                <w:rFonts w:hint="eastAsia" w:ascii="宋体" w:hAnsi="宋体" w:cs="宋体"/>
                <w:b/>
                <w:bCs/>
                <w:color w:val="auto"/>
              </w:rPr>
              <w:t>四、可管理性：</w:t>
            </w:r>
          </w:p>
          <w:p>
            <w:pPr>
              <w:ind w:firstLine="420"/>
              <w:rPr>
                <w:rFonts w:ascii="宋体"/>
                <w:color w:val="auto"/>
              </w:rPr>
            </w:pPr>
            <w:r>
              <w:rPr>
                <w:rFonts w:hint="eastAsia" w:ascii="宋体" w:hAnsi="宋体" w:cs="宋体"/>
                <w:color w:val="auto"/>
              </w:rPr>
              <w:t>①系统是由多个部分组成的较为复杂的应用，为便于系统的日常管理，所选产品具有良好的可管理性等，内容完整的得</w:t>
            </w:r>
            <w:r>
              <w:rPr>
                <w:rFonts w:ascii="宋体" w:hAnsi="宋体" w:cs="宋体"/>
                <w:color w:val="auto"/>
              </w:rPr>
              <w:t>5</w:t>
            </w:r>
            <w:r>
              <w:rPr>
                <w:rFonts w:hint="eastAsia" w:ascii="宋体" w:hAnsi="宋体" w:cs="宋体"/>
                <w:color w:val="auto"/>
              </w:rPr>
              <w:t>分；</w:t>
            </w:r>
          </w:p>
          <w:p>
            <w:pPr>
              <w:ind w:firstLine="420"/>
              <w:rPr>
                <w:rFonts w:ascii="宋体"/>
                <w:color w:val="auto"/>
              </w:rPr>
            </w:pPr>
            <w:r>
              <w:rPr>
                <w:rFonts w:hint="eastAsia" w:ascii="宋体" w:hAnsi="宋体" w:cs="宋体"/>
                <w:color w:val="auto"/>
              </w:rPr>
              <w:t>②系统是由多个部分组成的较为复杂的应用，为便于系统的日常管理，所选产品具有良好的可管理性等，内容较完整得</w:t>
            </w:r>
            <w:r>
              <w:rPr>
                <w:rFonts w:ascii="宋体" w:hAnsi="宋体" w:cs="宋体"/>
                <w:color w:val="auto"/>
              </w:rPr>
              <w:t>4.5</w:t>
            </w:r>
            <w:r>
              <w:rPr>
                <w:rFonts w:hint="eastAsia" w:ascii="宋体" w:hAnsi="宋体" w:cs="宋体"/>
                <w:color w:val="auto"/>
              </w:rPr>
              <w:t>分；</w:t>
            </w:r>
          </w:p>
          <w:p>
            <w:pPr>
              <w:ind w:firstLine="420"/>
              <w:rPr>
                <w:rFonts w:ascii="宋体"/>
                <w:color w:val="auto"/>
              </w:rPr>
            </w:pPr>
            <w:r>
              <w:rPr>
                <w:rFonts w:hint="eastAsia" w:ascii="宋体" w:hAnsi="宋体" w:cs="宋体"/>
                <w:color w:val="auto"/>
              </w:rPr>
              <w:t>③系统是由多个部分组成的较为复杂的应用，为便于系统的日常管理，所选产品具有良好的可管理性等，内容一般得</w:t>
            </w:r>
            <w:r>
              <w:rPr>
                <w:rFonts w:ascii="宋体" w:hAnsi="宋体" w:cs="宋体"/>
                <w:color w:val="auto"/>
              </w:rPr>
              <w:t>4</w:t>
            </w:r>
            <w:r>
              <w:rPr>
                <w:rFonts w:hint="eastAsia" w:ascii="宋体" w:hAnsi="宋体" w:cs="宋体"/>
                <w:color w:val="auto"/>
              </w:rPr>
              <w:t>分；</w:t>
            </w:r>
          </w:p>
          <w:p>
            <w:pPr>
              <w:ind w:firstLine="420"/>
              <w:rPr>
                <w:rFonts w:ascii="宋体"/>
                <w:color w:val="auto"/>
              </w:rPr>
            </w:pPr>
            <w:r>
              <w:rPr>
                <w:rFonts w:hint="eastAsia" w:ascii="宋体" w:hAnsi="宋体" w:cs="宋体"/>
                <w:color w:val="auto"/>
              </w:rPr>
              <w:t>注：内容不完整或未提供本项内容的本项不得分。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77" w:type="dxa"/>
            <w:noWrap w:val="0"/>
            <w:vAlign w:val="center"/>
          </w:tcPr>
          <w:p>
            <w:pPr>
              <w:jc w:val="center"/>
              <w:rPr>
                <w:rFonts w:ascii="宋体"/>
                <w:color w:val="auto"/>
              </w:rPr>
            </w:pPr>
            <w:r>
              <w:rPr>
                <w:rFonts w:hint="eastAsia" w:ascii="宋体" w:hAnsi="宋体" w:cs="宋体"/>
                <w:color w:val="auto"/>
              </w:rPr>
              <w:t>四</w:t>
            </w:r>
          </w:p>
        </w:tc>
        <w:tc>
          <w:tcPr>
            <w:tcW w:w="1133" w:type="dxa"/>
            <w:noWrap w:val="0"/>
            <w:vAlign w:val="center"/>
          </w:tcPr>
          <w:p>
            <w:pPr>
              <w:rPr>
                <w:rFonts w:ascii="宋体"/>
                <w:color w:val="auto"/>
              </w:rPr>
            </w:pPr>
            <w:r>
              <w:rPr>
                <w:rFonts w:hint="eastAsia" w:ascii="宋体" w:hAnsi="宋体" w:cs="宋体"/>
                <w:color w:val="auto"/>
              </w:rPr>
              <w:t>类似业绩（</w:t>
            </w:r>
            <w:r>
              <w:rPr>
                <w:rFonts w:ascii="宋体" w:hAnsi="宋体" w:cs="宋体"/>
                <w:color w:val="auto"/>
              </w:rPr>
              <w:t>5</w:t>
            </w:r>
            <w:r>
              <w:rPr>
                <w:rFonts w:hint="eastAsia" w:ascii="宋体" w:hAnsi="宋体" w:cs="宋体"/>
                <w:color w:val="auto"/>
              </w:rPr>
              <w:t>分）</w:t>
            </w:r>
          </w:p>
        </w:tc>
        <w:tc>
          <w:tcPr>
            <w:tcW w:w="727" w:type="dxa"/>
            <w:noWrap w:val="0"/>
            <w:vAlign w:val="center"/>
          </w:tcPr>
          <w:p>
            <w:pPr>
              <w:rPr>
                <w:rFonts w:ascii="宋体"/>
                <w:color w:val="auto"/>
              </w:rPr>
            </w:pPr>
            <w:r>
              <w:rPr>
                <w:rFonts w:ascii="宋体" w:hAnsi="宋体" w:cs="宋体"/>
                <w:color w:val="auto"/>
              </w:rPr>
              <w:t>5</w:t>
            </w:r>
            <w:r>
              <w:rPr>
                <w:rFonts w:hint="eastAsia" w:ascii="宋体" w:hAnsi="宋体" w:cs="宋体"/>
                <w:color w:val="auto"/>
              </w:rPr>
              <w:t>分</w:t>
            </w:r>
          </w:p>
        </w:tc>
        <w:tc>
          <w:tcPr>
            <w:tcW w:w="7820" w:type="dxa"/>
            <w:noWrap w:val="0"/>
            <w:vAlign w:val="center"/>
          </w:tcPr>
          <w:p>
            <w:pPr>
              <w:widowControl/>
              <w:ind w:firstLine="420"/>
              <w:rPr>
                <w:rFonts w:ascii="宋体"/>
                <w:color w:val="auto"/>
              </w:rPr>
            </w:pPr>
            <w:r>
              <w:rPr>
                <w:rFonts w:hint="eastAsia" w:ascii="宋体" w:hAnsi="宋体" w:cs="宋体"/>
                <w:color w:val="auto"/>
              </w:rPr>
              <w:t>为体现投标人此项目的了解程度和具有相应服务能力，投标人提供自</w:t>
            </w:r>
            <w:r>
              <w:rPr>
                <w:rFonts w:ascii="宋体" w:hAnsi="宋体" w:cs="宋体"/>
                <w:color w:val="auto"/>
              </w:rPr>
              <w:t>2022</w:t>
            </w:r>
            <w:r>
              <w:rPr>
                <w:rFonts w:hint="eastAsia" w:ascii="宋体" w:hAnsi="宋体" w:cs="宋体"/>
                <w:color w:val="auto"/>
              </w:rPr>
              <w:t>年</w:t>
            </w:r>
            <w:r>
              <w:rPr>
                <w:rFonts w:ascii="宋体" w:hAnsi="宋体" w:cs="宋体"/>
                <w:color w:val="auto"/>
              </w:rPr>
              <w:t>1</w:t>
            </w:r>
            <w:r>
              <w:rPr>
                <w:rFonts w:hint="eastAsia" w:ascii="宋体" w:hAnsi="宋体" w:cs="宋体"/>
                <w:color w:val="auto"/>
              </w:rPr>
              <w:t>月以来承接过类似项目案例证明，每个案例得</w:t>
            </w:r>
            <w:r>
              <w:rPr>
                <w:rFonts w:ascii="宋体" w:hAnsi="宋体" w:cs="宋体"/>
                <w:color w:val="auto"/>
              </w:rPr>
              <w:t>2.5</w:t>
            </w:r>
            <w:r>
              <w:rPr>
                <w:rFonts w:hint="eastAsia" w:ascii="宋体" w:hAnsi="宋体" w:cs="宋体"/>
                <w:color w:val="auto"/>
              </w:rPr>
              <w:t>分，最多得</w:t>
            </w:r>
            <w:r>
              <w:rPr>
                <w:rFonts w:ascii="宋体" w:hAnsi="宋体" w:cs="宋体"/>
                <w:color w:val="auto"/>
              </w:rPr>
              <w:t>5</w:t>
            </w:r>
            <w:r>
              <w:rPr>
                <w:rFonts w:hint="eastAsia" w:ascii="宋体" w:hAnsi="宋体" w:cs="宋体"/>
                <w:color w:val="auto"/>
              </w:rPr>
              <w:t>分（提供项目的合同扫描件并加盖投标单位公章，时间以合同签定时间为准。</w:t>
            </w:r>
          </w:p>
          <w:p>
            <w:pPr>
              <w:widowControl/>
              <w:ind w:firstLine="420"/>
              <w:rPr>
                <w:rFonts w:ascii="宋体"/>
                <w:color w:val="auto"/>
              </w:rPr>
            </w:pPr>
            <w:r>
              <w:rPr>
                <w:rFonts w:hint="eastAsia" w:ascii="宋体" w:hAnsi="宋体" w:cs="宋体"/>
                <w:color w:val="auto"/>
              </w:rPr>
              <w:t>注：上述类似项目业绩是指投标人所提供的业绩需与本项目内容相关的项目业绩，合同中必须体现甲乙双方单位名称及项目内容，否则不得分。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77" w:type="dxa"/>
            <w:noWrap w:val="0"/>
            <w:vAlign w:val="center"/>
          </w:tcPr>
          <w:p>
            <w:pPr>
              <w:jc w:val="center"/>
              <w:rPr>
                <w:rFonts w:ascii="宋体"/>
                <w:color w:val="auto"/>
              </w:rPr>
            </w:pPr>
            <w:r>
              <w:rPr>
                <w:rFonts w:hint="eastAsia" w:ascii="宋体" w:hAnsi="宋体" w:cs="宋体"/>
                <w:color w:val="auto"/>
              </w:rPr>
              <w:t>五</w:t>
            </w:r>
          </w:p>
        </w:tc>
        <w:tc>
          <w:tcPr>
            <w:tcW w:w="1133" w:type="dxa"/>
            <w:noWrap w:val="0"/>
            <w:vAlign w:val="center"/>
          </w:tcPr>
          <w:p>
            <w:pPr>
              <w:rPr>
                <w:rFonts w:ascii="宋体"/>
                <w:color w:val="auto"/>
              </w:rPr>
            </w:pPr>
            <w:r>
              <w:rPr>
                <w:rFonts w:hint="eastAsia" w:ascii="宋体" w:hAnsi="宋体" w:cs="宋体"/>
                <w:color w:val="auto"/>
              </w:rPr>
              <w:t>售后及培训方案</w:t>
            </w:r>
          </w:p>
          <w:p>
            <w:pPr>
              <w:rPr>
                <w:rFonts w:ascii="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分）</w:t>
            </w:r>
          </w:p>
        </w:tc>
        <w:tc>
          <w:tcPr>
            <w:tcW w:w="727" w:type="dxa"/>
            <w:noWrap w:val="0"/>
            <w:vAlign w:val="center"/>
          </w:tcPr>
          <w:p>
            <w:pPr>
              <w:rPr>
                <w:rFonts w:ascii="宋体"/>
                <w:color w:val="auto"/>
              </w:rPr>
            </w:pPr>
            <w:r>
              <w:rPr>
                <w:rFonts w:ascii="宋体" w:hAnsi="宋体" w:cs="宋体"/>
                <w:color w:val="auto"/>
              </w:rPr>
              <w:t>5</w:t>
            </w:r>
            <w:r>
              <w:rPr>
                <w:rFonts w:hint="eastAsia" w:ascii="宋体" w:hAnsi="宋体" w:cs="宋体"/>
                <w:color w:val="auto"/>
              </w:rPr>
              <w:t>分</w:t>
            </w:r>
          </w:p>
        </w:tc>
        <w:tc>
          <w:tcPr>
            <w:tcW w:w="7820" w:type="dxa"/>
            <w:noWrap w:val="0"/>
            <w:vAlign w:val="center"/>
          </w:tcPr>
          <w:p>
            <w:pPr>
              <w:ind w:firstLine="360"/>
              <w:rPr>
                <w:rFonts w:ascii="宋体"/>
                <w:color w:val="auto"/>
              </w:rPr>
            </w:pPr>
            <w:r>
              <w:rPr>
                <w:rFonts w:ascii="宋体" w:hAnsi="宋体" w:cs="宋体"/>
                <w:color w:val="auto"/>
              </w:rPr>
              <w:t>1</w:t>
            </w:r>
            <w:r>
              <w:rPr>
                <w:rFonts w:hint="eastAsia" w:ascii="宋体" w:hAnsi="宋体" w:cs="宋体"/>
                <w:color w:val="auto"/>
              </w:rPr>
              <w:t>、售后服务方案（</w:t>
            </w:r>
            <w:r>
              <w:rPr>
                <w:rFonts w:ascii="宋体" w:hAnsi="宋体" w:cs="宋体"/>
                <w:color w:val="auto"/>
              </w:rPr>
              <w:t>3</w:t>
            </w:r>
            <w:r>
              <w:rPr>
                <w:rFonts w:hint="eastAsia" w:ascii="宋体" w:hAnsi="宋体" w:cs="宋体"/>
                <w:color w:val="auto"/>
              </w:rPr>
              <w:t>分）</w:t>
            </w:r>
          </w:p>
          <w:p>
            <w:pPr>
              <w:ind w:firstLine="360"/>
              <w:rPr>
                <w:rFonts w:ascii="宋体"/>
                <w:color w:val="auto"/>
              </w:rPr>
            </w:pPr>
            <w:r>
              <w:rPr>
                <w:rFonts w:hint="eastAsia" w:ascii="宋体" w:hAnsi="宋体" w:cs="宋体"/>
                <w:color w:val="auto"/>
              </w:rPr>
              <w:t>评委根据技术方案中描述的售后服务方案全面合理，服务流程及内容具体，响应时间迅速，服务人员齐备的内容进行综合比较评分。</w:t>
            </w:r>
          </w:p>
          <w:p>
            <w:pPr>
              <w:ind w:firstLine="420"/>
              <w:rPr>
                <w:rFonts w:ascii="宋体"/>
                <w:color w:val="auto"/>
              </w:rPr>
            </w:pPr>
            <w:r>
              <w:rPr>
                <w:rFonts w:hint="eastAsia" w:ascii="宋体" w:hAnsi="宋体" w:cs="宋体"/>
                <w:color w:val="auto"/>
              </w:rPr>
              <w:t>①售后服务方案的详细、完善，响应及时和处理办法合理、可行的得</w:t>
            </w:r>
            <w:r>
              <w:rPr>
                <w:rFonts w:ascii="宋体" w:hAnsi="宋体" w:cs="宋体"/>
                <w:color w:val="auto"/>
              </w:rPr>
              <w:t>3</w:t>
            </w:r>
            <w:r>
              <w:rPr>
                <w:rFonts w:hint="eastAsia" w:ascii="宋体" w:hAnsi="宋体" w:cs="宋体"/>
                <w:color w:val="auto"/>
              </w:rPr>
              <w:t>分；</w:t>
            </w:r>
          </w:p>
          <w:p>
            <w:pPr>
              <w:ind w:firstLine="420"/>
              <w:rPr>
                <w:rFonts w:ascii="宋体"/>
                <w:color w:val="auto"/>
              </w:rPr>
            </w:pPr>
            <w:r>
              <w:rPr>
                <w:rFonts w:hint="eastAsia" w:ascii="宋体" w:hAnsi="宋体" w:cs="宋体"/>
                <w:color w:val="auto"/>
              </w:rPr>
              <w:t>②售后服务方案的比较详细、完善，响应较及时和处理办法比较合理、可行的得</w:t>
            </w:r>
            <w:r>
              <w:rPr>
                <w:rFonts w:ascii="宋体" w:hAnsi="宋体" w:cs="宋体"/>
                <w:color w:val="auto"/>
              </w:rPr>
              <w:t>2.5</w:t>
            </w:r>
            <w:r>
              <w:rPr>
                <w:rFonts w:hint="eastAsia" w:ascii="宋体" w:hAnsi="宋体" w:cs="宋体"/>
                <w:color w:val="auto"/>
              </w:rPr>
              <w:t>分；</w:t>
            </w:r>
          </w:p>
          <w:p>
            <w:pPr>
              <w:ind w:firstLine="420"/>
              <w:rPr>
                <w:rFonts w:ascii="宋体"/>
                <w:color w:val="auto"/>
              </w:rPr>
            </w:pPr>
            <w:r>
              <w:rPr>
                <w:rFonts w:hint="eastAsia" w:ascii="宋体" w:hAnsi="宋体" w:cs="宋体"/>
                <w:color w:val="auto"/>
              </w:rPr>
              <w:t>③售后服务方案一般的得</w:t>
            </w:r>
            <w:r>
              <w:rPr>
                <w:rFonts w:ascii="宋体" w:hAnsi="宋体" w:cs="宋体"/>
                <w:color w:val="auto"/>
              </w:rPr>
              <w:t>2</w:t>
            </w:r>
            <w:r>
              <w:rPr>
                <w:rFonts w:hint="eastAsia" w:ascii="宋体" w:hAnsi="宋体" w:cs="宋体"/>
                <w:color w:val="auto"/>
              </w:rPr>
              <w:t>分；</w:t>
            </w:r>
          </w:p>
          <w:p>
            <w:pPr>
              <w:ind w:firstLine="420"/>
              <w:rPr>
                <w:rFonts w:ascii="宋体"/>
                <w:color w:val="auto"/>
              </w:rPr>
            </w:pPr>
            <w:r>
              <w:rPr>
                <w:rFonts w:hint="eastAsia" w:ascii="宋体" w:hAnsi="宋体" w:cs="宋体"/>
                <w:color w:val="auto"/>
              </w:rPr>
              <w:t>注：投标人所提供的技术方案中未体现本项内容的不得分。</w:t>
            </w:r>
          </w:p>
          <w:p>
            <w:pPr>
              <w:ind w:firstLine="360"/>
              <w:rPr>
                <w:rFonts w:ascii="宋体"/>
                <w:color w:val="auto"/>
              </w:rPr>
            </w:pPr>
            <w:r>
              <w:rPr>
                <w:rFonts w:ascii="宋体" w:hAnsi="宋体" w:cs="宋体"/>
                <w:color w:val="auto"/>
              </w:rPr>
              <w:t>2</w:t>
            </w:r>
            <w:r>
              <w:rPr>
                <w:rFonts w:hint="eastAsia" w:ascii="宋体" w:hAnsi="宋体" w:cs="宋体"/>
                <w:color w:val="auto"/>
              </w:rPr>
              <w:t>、培训方案（</w:t>
            </w:r>
            <w:r>
              <w:rPr>
                <w:rFonts w:ascii="宋体" w:hAnsi="宋体" w:cs="宋体"/>
                <w:color w:val="auto"/>
              </w:rPr>
              <w:t>2</w:t>
            </w:r>
            <w:r>
              <w:rPr>
                <w:rFonts w:hint="eastAsia" w:ascii="宋体" w:hAnsi="宋体" w:cs="宋体"/>
                <w:color w:val="auto"/>
              </w:rPr>
              <w:t>分）</w:t>
            </w:r>
          </w:p>
          <w:p>
            <w:pPr>
              <w:ind w:firstLine="360"/>
              <w:rPr>
                <w:rFonts w:ascii="宋体"/>
                <w:color w:val="auto"/>
              </w:rPr>
            </w:pPr>
            <w:r>
              <w:rPr>
                <w:rFonts w:hint="eastAsia" w:ascii="宋体" w:hAnsi="宋体" w:cs="宋体"/>
                <w:color w:val="auto"/>
              </w:rPr>
              <w:t>评委根据技术方案中描述的培训方案进行综合比较评分。</w:t>
            </w:r>
          </w:p>
          <w:p>
            <w:pPr>
              <w:ind w:firstLine="420"/>
              <w:rPr>
                <w:rFonts w:ascii="宋体"/>
                <w:color w:val="auto"/>
              </w:rPr>
            </w:pPr>
            <w:r>
              <w:rPr>
                <w:rFonts w:hint="eastAsia" w:ascii="宋体" w:hAnsi="宋体" w:cs="宋体"/>
                <w:color w:val="auto"/>
              </w:rPr>
              <w:t>①全面合理有效，具有详细的培训计划、培训内容，内容完整的得</w:t>
            </w:r>
            <w:r>
              <w:rPr>
                <w:rFonts w:ascii="宋体" w:hAnsi="宋体" w:cs="宋体"/>
                <w:color w:val="auto"/>
              </w:rPr>
              <w:t>2</w:t>
            </w:r>
            <w:r>
              <w:rPr>
                <w:rFonts w:hint="eastAsia" w:ascii="宋体" w:hAnsi="宋体" w:cs="宋体"/>
                <w:color w:val="auto"/>
              </w:rPr>
              <w:t>分；</w:t>
            </w:r>
          </w:p>
          <w:p>
            <w:pPr>
              <w:ind w:firstLine="420"/>
              <w:rPr>
                <w:rFonts w:ascii="宋体"/>
                <w:color w:val="auto"/>
              </w:rPr>
            </w:pPr>
            <w:r>
              <w:rPr>
                <w:rFonts w:hint="eastAsia" w:ascii="宋体" w:hAnsi="宋体" w:cs="宋体"/>
                <w:color w:val="auto"/>
              </w:rPr>
              <w:t>②不够全面合理有效，没有详细的培训计划、培训内容，内容一般的得</w:t>
            </w:r>
            <w:r>
              <w:rPr>
                <w:rFonts w:ascii="宋体" w:hAnsi="宋体" w:cs="宋体"/>
                <w:color w:val="auto"/>
              </w:rPr>
              <w:t>1.5</w:t>
            </w:r>
            <w:r>
              <w:rPr>
                <w:rFonts w:hint="eastAsia" w:ascii="宋体" w:hAnsi="宋体" w:cs="宋体"/>
                <w:color w:val="auto"/>
              </w:rPr>
              <w:t>分。</w:t>
            </w:r>
          </w:p>
          <w:p>
            <w:pPr>
              <w:ind w:firstLine="420"/>
              <w:rPr>
                <w:rFonts w:ascii="宋体"/>
                <w:color w:val="auto"/>
              </w:rPr>
            </w:pPr>
            <w:r>
              <w:rPr>
                <w:rFonts w:hint="eastAsia" w:ascii="宋体" w:hAnsi="宋体" w:cs="宋体"/>
                <w:color w:val="auto"/>
              </w:rPr>
              <w:t>注：投标人所提供的技术方案中未体现本项内容的不得分。</w:t>
            </w:r>
          </w:p>
        </w:tc>
      </w:tr>
    </w:tbl>
    <w:p>
      <w:pPr>
        <w:ind w:firstLine="482"/>
        <w:rPr>
          <w:rFonts w:hint="eastAsia" w:ascii="宋体" w:hAnsi="宋体" w:cs="宋体"/>
          <w:b/>
          <w:bCs/>
          <w:color w:val="auto"/>
        </w:rPr>
      </w:pPr>
      <w:bookmarkStart w:id="21" w:name="_Toc120519616"/>
      <w:bookmarkStart w:id="22" w:name="_Toc130206650"/>
    </w:p>
    <w:p>
      <w:pPr>
        <w:ind w:firstLine="482"/>
        <w:rPr>
          <w:rFonts w:ascii="宋体"/>
          <w:b/>
          <w:bCs/>
          <w:color w:val="auto"/>
        </w:rPr>
      </w:pPr>
      <w:r>
        <w:rPr>
          <w:rFonts w:hint="eastAsia" w:ascii="宋体" w:hAnsi="宋体" w:cs="宋体"/>
          <w:b/>
          <w:bCs/>
          <w:color w:val="auto"/>
        </w:rPr>
        <w:t>注：上述加分项中需提供相关证明材料的，在该项目公示</w:t>
      </w:r>
      <w:r>
        <w:rPr>
          <w:rFonts w:ascii="宋体" w:hAnsi="宋体" w:cs="宋体"/>
          <w:b/>
          <w:bCs/>
          <w:color w:val="auto"/>
        </w:rPr>
        <w:t>1</w:t>
      </w:r>
      <w:r>
        <w:rPr>
          <w:rFonts w:hint="eastAsia" w:ascii="宋体" w:hAnsi="宋体" w:cs="宋体"/>
          <w:b/>
          <w:bCs/>
          <w:color w:val="auto"/>
        </w:rPr>
        <w:t>个工作日内，向招标人提供原件核查。如不提供或提供的原件与投标时提供的证明材料不一致，或提供虚假项目业绩，将被视为在投标过程中提供虚假材料谋取中标成交，列入不良行为记录名单。</w:t>
      </w:r>
    </w:p>
    <w:p>
      <w:pPr>
        <w:pStyle w:val="25"/>
        <w:spacing w:line="480" w:lineRule="exact"/>
        <w:ind w:firstLine="643"/>
        <w:jc w:val="center"/>
        <w:outlineLvl w:val="0"/>
        <w:rPr>
          <w:rFonts w:hint="eastAsia" w:hAnsi="宋体"/>
          <w:b/>
          <w:bCs/>
          <w:color w:val="auto"/>
          <w:sz w:val="32"/>
          <w:szCs w:val="32"/>
        </w:rPr>
      </w:pPr>
    </w:p>
    <w:p>
      <w:pPr>
        <w:pStyle w:val="25"/>
        <w:spacing w:line="480" w:lineRule="exact"/>
        <w:ind w:firstLine="643"/>
        <w:jc w:val="center"/>
        <w:outlineLvl w:val="0"/>
        <w:rPr>
          <w:rFonts w:hint="eastAsia" w:hAnsi="宋体"/>
          <w:b/>
          <w:bCs/>
          <w:color w:val="auto"/>
          <w:sz w:val="32"/>
          <w:szCs w:val="32"/>
        </w:rPr>
      </w:pPr>
    </w:p>
    <w:p>
      <w:pPr>
        <w:pStyle w:val="25"/>
        <w:spacing w:line="480" w:lineRule="exact"/>
        <w:ind w:firstLine="643"/>
        <w:jc w:val="center"/>
        <w:outlineLvl w:val="0"/>
        <w:rPr>
          <w:rFonts w:hint="eastAsia" w:hAnsi="宋体"/>
          <w:b/>
          <w:bCs/>
          <w:color w:val="auto"/>
          <w:sz w:val="32"/>
          <w:szCs w:val="32"/>
        </w:rPr>
      </w:pPr>
    </w:p>
    <w:p>
      <w:pPr>
        <w:pStyle w:val="25"/>
        <w:spacing w:line="480" w:lineRule="exact"/>
        <w:ind w:firstLine="643"/>
        <w:jc w:val="center"/>
        <w:outlineLvl w:val="0"/>
        <w:rPr>
          <w:rFonts w:hint="eastAsia" w:hAnsi="宋体"/>
          <w:b/>
          <w:bCs/>
          <w:color w:val="auto"/>
          <w:sz w:val="32"/>
          <w:szCs w:val="32"/>
        </w:rPr>
      </w:pPr>
    </w:p>
    <w:p>
      <w:pPr>
        <w:pStyle w:val="25"/>
        <w:spacing w:line="480" w:lineRule="exact"/>
        <w:ind w:firstLine="643"/>
        <w:jc w:val="center"/>
        <w:outlineLvl w:val="0"/>
        <w:rPr>
          <w:rFonts w:hAnsi="宋体" w:cs="Calibri"/>
          <w:b/>
          <w:bCs/>
          <w:color w:val="auto"/>
          <w:sz w:val="32"/>
          <w:szCs w:val="32"/>
        </w:rPr>
      </w:pPr>
      <w:r>
        <w:rPr>
          <w:rFonts w:hint="eastAsia" w:hAnsi="宋体"/>
          <w:b/>
          <w:bCs/>
          <w:color w:val="auto"/>
          <w:sz w:val="32"/>
          <w:szCs w:val="32"/>
        </w:rPr>
        <w:t>第五章</w:t>
      </w:r>
      <w:r>
        <w:rPr>
          <w:rFonts w:hAnsi="宋体"/>
          <w:b/>
          <w:bCs/>
          <w:color w:val="auto"/>
          <w:sz w:val="32"/>
          <w:szCs w:val="32"/>
        </w:rPr>
        <w:t xml:space="preserve">  </w:t>
      </w:r>
      <w:r>
        <w:rPr>
          <w:rFonts w:hint="eastAsia" w:hAnsi="宋体"/>
          <w:b/>
          <w:bCs/>
          <w:color w:val="auto"/>
          <w:sz w:val="32"/>
          <w:szCs w:val="32"/>
        </w:rPr>
        <w:t>合同主要条款</w:t>
      </w:r>
      <w:bookmarkEnd w:id="21"/>
      <w:bookmarkEnd w:id="22"/>
    </w:p>
    <w:p>
      <w:pPr>
        <w:spacing w:line="430" w:lineRule="exact"/>
        <w:ind w:firstLine="480"/>
        <w:rPr>
          <w:rFonts w:ascii="宋体"/>
          <w:color w:val="auto"/>
          <w:sz w:val="24"/>
          <w:szCs w:val="24"/>
        </w:rPr>
      </w:pPr>
    </w:p>
    <w:p>
      <w:pPr>
        <w:spacing w:line="440" w:lineRule="exact"/>
        <w:ind w:firstLine="480"/>
        <w:rPr>
          <w:rFonts w:ascii="宋体"/>
          <w:color w:val="auto"/>
          <w:sz w:val="24"/>
          <w:szCs w:val="24"/>
        </w:rPr>
      </w:pPr>
      <w:r>
        <w:rPr>
          <w:rFonts w:hint="eastAsia" w:ascii="宋体" w:hAnsi="宋体" w:cs="宋体"/>
          <w:color w:val="auto"/>
          <w:sz w:val="24"/>
          <w:szCs w:val="24"/>
        </w:rPr>
        <w:t>采购人（全称）：</w:t>
      </w:r>
      <w:r>
        <w:rPr>
          <w:rFonts w:hint="eastAsia" w:ascii="宋体" w:hAnsi="宋体" w:cs="宋体"/>
          <w:b/>
          <w:bCs/>
          <w:color w:val="auto"/>
          <w:sz w:val="24"/>
          <w:szCs w:val="24"/>
          <w:u w:val="single"/>
        </w:rPr>
        <w:t>建湖县教育局</w:t>
      </w:r>
      <w:r>
        <w:rPr>
          <w:rFonts w:hint="eastAsia" w:ascii="宋体" w:hAnsi="宋体" w:cs="宋体"/>
          <w:color w:val="auto"/>
          <w:sz w:val="24"/>
          <w:szCs w:val="24"/>
        </w:rPr>
        <w:t>（以下简称甲方）</w:t>
      </w:r>
    </w:p>
    <w:p>
      <w:pPr>
        <w:spacing w:line="440" w:lineRule="exact"/>
        <w:ind w:firstLine="480"/>
        <w:rPr>
          <w:rFonts w:ascii="宋体"/>
          <w:color w:val="auto"/>
          <w:sz w:val="24"/>
          <w:szCs w:val="24"/>
        </w:rPr>
      </w:pPr>
      <w:r>
        <w:rPr>
          <w:rFonts w:hint="eastAsia" w:ascii="宋体" w:hAnsi="宋体" w:cs="宋体"/>
          <w:color w:val="auto"/>
          <w:sz w:val="24"/>
          <w:szCs w:val="24"/>
        </w:rPr>
        <w:t>中标人（全称）：</w:t>
      </w:r>
      <w:r>
        <w:rPr>
          <w:rFonts w:ascii="宋体" w:hAnsi="宋体" w:cs="宋体"/>
          <w:color w:val="auto"/>
          <w:sz w:val="24"/>
          <w:szCs w:val="24"/>
          <w:u w:val="single"/>
        </w:rPr>
        <w:t xml:space="preserve">            </w:t>
      </w:r>
      <w:r>
        <w:rPr>
          <w:rFonts w:hint="eastAsia" w:ascii="宋体" w:hAnsi="宋体" w:cs="宋体"/>
          <w:color w:val="auto"/>
          <w:sz w:val="24"/>
          <w:szCs w:val="24"/>
        </w:rPr>
        <w:t>（以下简称乙方）</w:t>
      </w:r>
    </w:p>
    <w:p>
      <w:pPr>
        <w:widowControl/>
        <w:spacing w:line="440" w:lineRule="exact"/>
        <w:ind w:firstLine="480"/>
        <w:jc w:val="left"/>
        <w:rPr>
          <w:rFonts w:ascii="宋体"/>
          <w:color w:val="auto"/>
          <w:sz w:val="24"/>
          <w:szCs w:val="24"/>
        </w:rPr>
      </w:pPr>
      <w:r>
        <w:rPr>
          <w:rFonts w:hint="eastAsia" w:ascii="宋体" w:hAnsi="宋体" w:cs="宋体"/>
          <w:color w:val="auto"/>
          <w:sz w:val="24"/>
          <w:szCs w:val="24"/>
        </w:rPr>
        <w:t>依照《中华人民共和国政府采购法》、《中华人民共和国民法典》及其他相关法律法规，遵循平等、自愿、公平和诚实信用原则，双方就</w:t>
      </w:r>
      <w:r>
        <w:rPr>
          <w:rFonts w:hint="eastAsia" w:ascii="宋体" w:hAnsi="宋体" w:cs="宋体"/>
          <w:b/>
          <w:bCs/>
          <w:color w:val="auto"/>
          <w:sz w:val="24"/>
          <w:szCs w:val="24"/>
          <w:u w:val="single"/>
        </w:rPr>
        <w:t>建湖县中高考相关考点广播独立双系统升级改造项目</w:t>
      </w:r>
      <w:r>
        <w:rPr>
          <w:rFonts w:hint="eastAsia" w:ascii="宋体" w:hAnsi="宋体" w:cs="宋体"/>
          <w:color w:val="auto"/>
          <w:sz w:val="24"/>
          <w:szCs w:val="24"/>
        </w:rPr>
        <w:t>相关事项协商一致，达成如下合同条款：</w:t>
      </w:r>
    </w:p>
    <w:p>
      <w:pPr>
        <w:spacing w:line="440" w:lineRule="exact"/>
        <w:ind w:firstLine="482"/>
        <w:rPr>
          <w:rFonts w:ascii="宋体"/>
          <w:b/>
          <w:bCs/>
          <w:color w:val="auto"/>
          <w:sz w:val="24"/>
          <w:szCs w:val="24"/>
        </w:rPr>
      </w:pPr>
      <w:r>
        <w:rPr>
          <w:rFonts w:hint="eastAsia" w:ascii="宋体" w:hAnsi="宋体" w:cs="宋体"/>
          <w:b/>
          <w:bCs/>
          <w:color w:val="auto"/>
          <w:sz w:val="24"/>
          <w:szCs w:val="24"/>
        </w:rPr>
        <w:t>一、合同标的</w:t>
      </w:r>
    </w:p>
    <w:p>
      <w:pPr>
        <w:spacing w:line="44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中标价：元</w:t>
      </w:r>
    </w:p>
    <w:p>
      <w:pPr>
        <w:spacing w:line="44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乙方在签订合同前须向甲方交纳中标价</w:t>
      </w:r>
      <w:r>
        <w:rPr>
          <w:rFonts w:ascii="宋体" w:hAnsi="宋体" w:cs="宋体"/>
          <w:color w:val="auto"/>
          <w:sz w:val="24"/>
          <w:szCs w:val="24"/>
        </w:rPr>
        <w:t>5%</w:t>
      </w:r>
      <w:r>
        <w:rPr>
          <w:rFonts w:hint="eastAsia" w:ascii="宋体" w:hAnsi="宋体" w:cs="宋体"/>
          <w:color w:val="auto"/>
          <w:sz w:val="24"/>
          <w:szCs w:val="24"/>
        </w:rPr>
        <w:t>的履约保证金，于合同履行期满后退还。（如被评定为</w:t>
      </w:r>
      <w:r>
        <w:rPr>
          <w:rFonts w:ascii="宋体" w:hAnsi="宋体" w:cs="宋体"/>
          <w:color w:val="auto"/>
          <w:sz w:val="24"/>
          <w:szCs w:val="24"/>
        </w:rPr>
        <w:t>AA</w:t>
      </w:r>
      <w:r>
        <w:rPr>
          <w:rFonts w:hint="eastAsia" w:ascii="宋体" w:hAnsi="宋体" w:cs="宋体"/>
          <w:color w:val="auto"/>
          <w:sz w:val="24"/>
          <w:szCs w:val="24"/>
        </w:rPr>
        <w:t>级及以上的政府采购供应商，须在签订采购合同前提供信用管理部门备案的第三方信用报告，且信用报告通过“信用盐城网”可查实，甲方降低履约保证金比例为中标价的</w:t>
      </w:r>
      <w:r>
        <w:rPr>
          <w:rFonts w:ascii="宋体" w:hAnsi="宋体" w:cs="宋体"/>
          <w:color w:val="auto"/>
          <w:sz w:val="24"/>
          <w:szCs w:val="24"/>
        </w:rPr>
        <w:t>2.5%</w:t>
      </w:r>
      <w:r>
        <w:rPr>
          <w:rFonts w:hint="eastAsia" w:ascii="宋体" w:hAnsi="宋体" w:cs="宋体"/>
          <w:color w:val="auto"/>
          <w:sz w:val="24"/>
          <w:szCs w:val="24"/>
        </w:rPr>
        <w:t>）。</w:t>
      </w:r>
    </w:p>
    <w:p>
      <w:pPr>
        <w:spacing w:line="440" w:lineRule="exact"/>
        <w:ind w:firstLine="480"/>
        <w:rPr>
          <w:rFonts w:ascii="宋体"/>
          <w:color w:val="auto"/>
          <w:sz w:val="24"/>
          <w:szCs w:val="24"/>
        </w:rPr>
      </w:pPr>
      <w:r>
        <w:rPr>
          <w:rFonts w:hint="eastAsia" w:ascii="宋体" w:hAnsi="宋体" w:cs="宋体"/>
          <w:color w:val="auto"/>
          <w:sz w:val="24"/>
          <w:szCs w:val="24"/>
        </w:rPr>
        <w:t>履约保证金形式：供应商应当以支票、汇票、本票或者金融机构、担保机构出具的保函等非现金形式提交。</w:t>
      </w:r>
    </w:p>
    <w:p>
      <w:pPr>
        <w:spacing w:line="440" w:lineRule="exact"/>
        <w:ind w:firstLine="480"/>
        <w:rPr>
          <w:rFonts w:ascii="宋体"/>
          <w:color w:val="auto"/>
          <w:sz w:val="24"/>
          <w:szCs w:val="24"/>
        </w:rPr>
      </w:pPr>
      <w:r>
        <w:rPr>
          <w:rFonts w:hint="eastAsia" w:ascii="宋体" w:hAnsi="宋体" w:cs="宋体"/>
          <w:color w:val="auto"/>
          <w:sz w:val="24"/>
          <w:szCs w:val="24"/>
        </w:rPr>
        <w:t>本项目履约保证金在服务期满后</w:t>
      </w:r>
      <w:r>
        <w:rPr>
          <w:rFonts w:ascii="宋体" w:hAnsi="宋体" w:cs="宋体"/>
          <w:color w:val="auto"/>
          <w:sz w:val="24"/>
          <w:szCs w:val="24"/>
        </w:rPr>
        <w:t>15</w:t>
      </w:r>
      <w:r>
        <w:rPr>
          <w:rFonts w:hint="eastAsia" w:ascii="宋体" w:hAnsi="宋体" w:cs="宋体"/>
          <w:color w:val="auto"/>
          <w:sz w:val="24"/>
          <w:szCs w:val="24"/>
        </w:rPr>
        <w:t>日内退回，乙方向甲方提交履约保证金退还申请经甲方同意后退还履约保证金。乙方不履行与甲方订立的合同的，履约保证金不予退还，给甲方造成的损失超过履约保证金数额的，还应当对超过部分予以赔偿；没有提交履约保证金的，应当对甲方的损失承担赔偿责任。甲方逾期退还履约保证金的，应当对乙方的损失承担赔偿责任。</w:t>
      </w:r>
    </w:p>
    <w:p>
      <w:pPr>
        <w:spacing w:line="44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项目实施期间，乙方所有的工作人员的人身安全以及乙方在实施期间产生的各类安全责任事故均由乙方自行承担。</w:t>
      </w:r>
    </w:p>
    <w:p>
      <w:pPr>
        <w:spacing w:line="440" w:lineRule="exact"/>
        <w:ind w:firstLine="47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采购人或者采购代理机构应当按照政府采购合同规定的技术、服务、安全标准组织对供应商履约情况进行验收，并出具验收书。验收书应当包括每一项技术、服务、安全标准的履约情况。</w:t>
      </w:r>
    </w:p>
    <w:p>
      <w:pPr>
        <w:spacing w:line="460" w:lineRule="exact"/>
        <w:ind w:firstLine="482"/>
        <w:rPr>
          <w:rFonts w:ascii="宋体"/>
          <w:b/>
          <w:bCs/>
          <w:color w:val="auto"/>
          <w:sz w:val="24"/>
          <w:szCs w:val="24"/>
        </w:rPr>
      </w:pPr>
      <w:r>
        <w:rPr>
          <w:rFonts w:hint="eastAsia" w:ascii="宋体" w:hAnsi="宋体" w:cs="宋体"/>
          <w:b/>
          <w:bCs/>
          <w:color w:val="auto"/>
          <w:sz w:val="24"/>
          <w:szCs w:val="24"/>
        </w:rPr>
        <w:t>二、质量要求、技术标准及售后服务</w:t>
      </w:r>
    </w:p>
    <w:p>
      <w:pPr>
        <w:spacing w:line="46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质保期：三年</w:t>
      </w:r>
    </w:p>
    <w:p>
      <w:pPr>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乙方按照国家规定的标准和标书规定的标准执行。</w:t>
      </w:r>
    </w:p>
    <w:p>
      <w:pPr>
        <w:spacing w:line="46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乙方应按招标文件规定的服务要求、质量标准向甲方提供规范、快捷的服务。</w:t>
      </w:r>
    </w:p>
    <w:p>
      <w:pPr>
        <w:spacing w:line="440" w:lineRule="exact"/>
        <w:ind w:firstLine="48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如建设质量发生问题，乙方应负责免费服务，直至满足招标要求。</w:t>
      </w:r>
    </w:p>
    <w:p>
      <w:pPr>
        <w:spacing w:line="440" w:lineRule="exact"/>
        <w:ind w:firstLine="456"/>
        <w:rPr>
          <w:rFonts w:ascii="宋体"/>
          <w:color w:val="auto"/>
          <w:spacing w:val="-6"/>
          <w:sz w:val="24"/>
          <w:szCs w:val="24"/>
        </w:rPr>
      </w:pPr>
      <w:r>
        <w:rPr>
          <w:rFonts w:ascii="宋体" w:hAnsi="宋体" w:cs="宋体"/>
          <w:color w:val="auto"/>
          <w:spacing w:val="-6"/>
          <w:sz w:val="24"/>
          <w:szCs w:val="24"/>
        </w:rPr>
        <w:t>5.</w:t>
      </w:r>
      <w:r>
        <w:rPr>
          <w:rFonts w:hint="eastAsia" w:ascii="宋体" w:hAnsi="宋体" w:cs="宋体"/>
          <w:color w:val="auto"/>
          <w:spacing w:val="-6"/>
          <w:sz w:val="24"/>
          <w:szCs w:val="24"/>
        </w:rPr>
        <w:t>乙方承诺</w:t>
      </w:r>
      <w:r>
        <w:rPr>
          <w:rFonts w:ascii="宋体" w:hAnsi="宋体" w:cs="宋体"/>
          <w:color w:val="auto"/>
          <w:spacing w:val="-6"/>
          <w:sz w:val="24"/>
          <w:szCs w:val="24"/>
        </w:rPr>
        <w:t>1</w:t>
      </w:r>
      <w:r>
        <w:rPr>
          <w:rFonts w:hint="eastAsia" w:ascii="宋体" w:hAnsi="宋体" w:cs="宋体"/>
          <w:color w:val="auto"/>
          <w:spacing w:val="-6"/>
          <w:sz w:val="24"/>
          <w:szCs w:val="24"/>
        </w:rPr>
        <w:t>小时电话和网络服务，重大事件或电话、网络方式无法解决的问题，在</w:t>
      </w:r>
      <w:r>
        <w:rPr>
          <w:rFonts w:ascii="宋体" w:hAnsi="宋体" w:cs="宋体"/>
          <w:color w:val="auto"/>
          <w:spacing w:val="-6"/>
          <w:sz w:val="24"/>
          <w:szCs w:val="24"/>
        </w:rPr>
        <w:t>2</w:t>
      </w:r>
      <w:r>
        <w:rPr>
          <w:rFonts w:hint="eastAsia" w:ascii="宋体" w:hAnsi="宋体" w:cs="宋体"/>
          <w:color w:val="auto"/>
          <w:spacing w:val="-6"/>
          <w:sz w:val="24"/>
          <w:szCs w:val="24"/>
        </w:rPr>
        <w:t>小时之内派人到现场维护；</w:t>
      </w:r>
      <w:r>
        <w:rPr>
          <w:rFonts w:ascii="宋体" w:hAnsi="宋体" w:cs="宋体"/>
          <w:color w:val="auto"/>
          <w:spacing w:val="-6"/>
          <w:sz w:val="24"/>
          <w:szCs w:val="24"/>
        </w:rPr>
        <w:t>2</w:t>
      </w:r>
      <w:r>
        <w:rPr>
          <w:rFonts w:hint="eastAsia" w:ascii="宋体" w:hAnsi="宋体" w:cs="宋体"/>
          <w:color w:val="auto"/>
          <w:spacing w:val="-6"/>
          <w:sz w:val="24"/>
          <w:szCs w:val="24"/>
        </w:rPr>
        <w:t>小时内对提出的维护要求做出实质性响应，提供应急策略。</w:t>
      </w:r>
    </w:p>
    <w:p>
      <w:pPr>
        <w:spacing w:line="440" w:lineRule="exact"/>
        <w:ind w:firstLine="482"/>
        <w:rPr>
          <w:rFonts w:ascii="宋体"/>
          <w:color w:val="auto"/>
          <w:sz w:val="24"/>
          <w:szCs w:val="24"/>
        </w:rPr>
      </w:pPr>
      <w:r>
        <w:rPr>
          <w:rFonts w:hint="eastAsia" w:ascii="宋体" w:hAnsi="宋体" w:cs="宋体"/>
          <w:b/>
          <w:bCs/>
          <w:color w:val="auto"/>
          <w:sz w:val="24"/>
          <w:szCs w:val="24"/>
        </w:rPr>
        <w:t>三、有关费用：</w:t>
      </w:r>
      <w:r>
        <w:rPr>
          <w:rFonts w:hint="eastAsia" w:ascii="宋体" w:hAnsi="宋体" w:cs="宋体"/>
          <w:color w:val="auto"/>
          <w:sz w:val="24"/>
          <w:szCs w:val="24"/>
        </w:rPr>
        <w:t>服务完成前的一切费用由乙方承担。</w:t>
      </w:r>
    </w:p>
    <w:p>
      <w:pPr>
        <w:spacing w:line="440" w:lineRule="exact"/>
        <w:ind w:firstLine="480"/>
        <w:rPr>
          <w:rFonts w:ascii="宋体"/>
          <w:color w:val="auto"/>
          <w:sz w:val="24"/>
          <w:szCs w:val="24"/>
        </w:rPr>
      </w:pPr>
      <w:r>
        <w:rPr>
          <w:rFonts w:hint="eastAsia" w:ascii="宋体" w:hAnsi="宋体" w:cs="宋体"/>
          <w:color w:val="auto"/>
          <w:sz w:val="24"/>
          <w:szCs w:val="24"/>
        </w:rPr>
        <w:t>上述费用指完成招标项目所需服务及材料，并进行项目相关服务的所有费用。投标人的报价应包括所投产品（含相关附配件、软件）费用、包装费、运输费、装卸费、安装调试费、测试费、培训费、验收费、质量保修期内维保费、售后服务费、投标费用、税金、各类风险费、管理费、利润、招标代理费及其他有关的为完成本项目发生的所有费用，对投标人认为没有考虑到的费用项目采购人将不予支付，并认为此项费用已包含在投标报价中。</w:t>
      </w:r>
    </w:p>
    <w:p>
      <w:pPr>
        <w:spacing w:line="440" w:lineRule="exact"/>
        <w:ind w:firstLine="482"/>
        <w:rPr>
          <w:rFonts w:ascii="宋体"/>
          <w:b/>
          <w:bCs/>
          <w:color w:val="auto"/>
          <w:sz w:val="24"/>
          <w:szCs w:val="24"/>
        </w:rPr>
      </w:pPr>
      <w:r>
        <w:rPr>
          <w:rFonts w:hint="eastAsia" w:ascii="宋体" w:hAnsi="宋体" w:cs="宋体"/>
          <w:b/>
          <w:bCs/>
          <w:color w:val="auto"/>
          <w:sz w:val="24"/>
          <w:szCs w:val="24"/>
        </w:rPr>
        <w:t>四、合同履行期限</w:t>
      </w:r>
    </w:p>
    <w:p>
      <w:pPr>
        <w:spacing w:line="440" w:lineRule="exact"/>
        <w:ind w:firstLine="480"/>
        <w:rPr>
          <w:rFonts w:ascii="宋体"/>
          <w:color w:val="auto"/>
          <w:sz w:val="24"/>
          <w:szCs w:val="24"/>
          <w:shd w:val="clear" w:color="auto" w:fill="FFFFFF"/>
        </w:rPr>
      </w:pPr>
      <w:r>
        <w:rPr>
          <w:rFonts w:hint="eastAsia" w:ascii="宋体" w:hAnsi="宋体" w:cs="宋体"/>
          <w:color w:val="auto"/>
          <w:sz w:val="24"/>
          <w:szCs w:val="24"/>
        </w:rPr>
        <w:t>合同履行期限：</w:t>
      </w:r>
      <w:r>
        <w:rPr>
          <w:rFonts w:hint="eastAsia" w:ascii="宋体" w:hAnsi="宋体" w:cs="宋体"/>
          <w:color w:val="auto"/>
          <w:spacing w:val="-4"/>
          <w:sz w:val="24"/>
          <w:szCs w:val="24"/>
          <w:lang w:eastAsia="zh-CN"/>
        </w:rPr>
        <w:t>2024年5月30日前</w:t>
      </w:r>
      <w:r>
        <w:rPr>
          <w:rFonts w:hint="eastAsia" w:ascii="宋体" w:hAnsi="宋体" w:cs="宋体"/>
          <w:color w:val="auto"/>
          <w:spacing w:val="-4"/>
          <w:sz w:val="24"/>
          <w:szCs w:val="24"/>
        </w:rPr>
        <w:t>完成全部设备的采购、安装、调试工作，并通过验收合格</w:t>
      </w:r>
      <w:r>
        <w:rPr>
          <w:rFonts w:hint="eastAsia" w:ascii="宋体" w:hAnsi="宋体" w:cs="宋体"/>
          <w:color w:val="auto"/>
          <w:sz w:val="24"/>
          <w:szCs w:val="24"/>
        </w:rPr>
        <w:t>。</w:t>
      </w:r>
    </w:p>
    <w:p>
      <w:pPr>
        <w:spacing w:line="440" w:lineRule="exact"/>
        <w:ind w:firstLine="482"/>
        <w:rPr>
          <w:rFonts w:ascii="宋体"/>
          <w:b/>
          <w:bCs/>
          <w:color w:val="auto"/>
          <w:sz w:val="24"/>
          <w:szCs w:val="24"/>
        </w:rPr>
      </w:pPr>
      <w:r>
        <w:rPr>
          <w:rFonts w:hint="eastAsia" w:ascii="宋体" w:hAnsi="宋体" w:cs="宋体"/>
          <w:b/>
          <w:bCs/>
          <w:color w:val="auto"/>
          <w:sz w:val="24"/>
          <w:szCs w:val="24"/>
        </w:rPr>
        <w:t>五、知识产权</w:t>
      </w:r>
    </w:p>
    <w:p>
      <w:pPr>
        <w:spacing w:line="440" w:lineRule="exact"/>
        <w:ind w:firstLine="480"/>
        <w:rPr>
          <w:rFonts w:ascii="宋体"/>
          <w:color w:val="auto"/>
          <w:sz w:val="24"/>
          <w:szCs w:val="24"/>
        </w:rPr>
      </w:pPr>
      <w:r>
        <w:rPr>
          <w:rFonts w:hint="eastAsia" w:ascii="宋体" w:hAnsi="宋体" w:cs="宋体"/>
          <w:color w:val="auto"/>
          <w:sz w:val="24"/>
          <w:szCs w:val="24"/>
        </w:rPr>
        <w:t>乙方应保证甲方在使用、接受本合同货物和服务或其任何一部分时不受第三方提出侵犯其专利权、版权、商标权和工业设计权等知识产权的起诉。一旦出现侵权，由乙方负全部责任。</w:t>
      </w:r>
    </w:p>
    <w:p>
      <w:pPr>
        <w:numPr>
          <w:ilvl w:val="0"/>
          <w:numId w:val="2"/>
        </w:numPr>
        <w:spacing w:line="440" w:lineRule="exact"/>
        <w:ind w:firstLine="482"/>
        <w:rPr>
          <w:rFonts w:ascii="宋体"/>
          <w:b/>
          <w:bCs/>
          <w:color w:val="auto"/>
          <w:sz w:val="24"/>
          <w:szCs w:val="24"/>
        </w:rPr>
      </w:pPr>
      <w:r>
        <w:rPr>
          <w:rFonts w:hint="eastAsia" w:ascii="宋体" w:hAnsi="宋体" w:cs="宋体"/>
          <w:b/>
          <w:bCs/>
          <w:color w:val="auto"/>
          <w:sz w:val="24"/>
          <w:szCs w:val="24"/>
        </w:rPr>
        <w:t>产权担保</w:t>
      </w:r>
    </w:p>
    <w:p>
      <w:pPr>
        <w:spacing w:line="440" w:lineRule="exact"/>
        <w:ind w:firstLine="480"/>
        <w:rPr>
          <w:rFonts w:ascii="宋体"/>
          <w:color w:val="auto"/>
          <w:sz w:val="24"/>
          <w:szCs w:val="24"/>
        </w:rPr>
      </w:pPr>
      <w:r>
        <w:rPr>
          <w:rFonts w:hint="eastAsia" w:ascii="宋体" w:hAnsi="宋体" w:cs="宋体"/>
          <w:color w:val="auto"/>
          <w:sz w:val="24"/>
          <w:szCs w:val="24"/>
        </w:rPr>
        <w:t>乙方保证所交付的服务的所有权完全属于乙方且无任何抵押、查封等产权瑕疵。</w:t>
      </w:r>
    </w:p>
    <w:p>
      <w:pPr>
        <w:spacing w:line="440" w:lineRule="exact"/>
        <w:ind w:firstLine="482"/>
        <w:rPr>
          <w:rFonts w:ascii="宋体"/>
          <w:b/>
          <w:bCs/>
          <w:color w:val="auto"/>
          <w:sz w:val="24"/>
          <w:szCs w:val="24"/>
        </w:rPr>
      </w:pPr>
      <w:r>
        <w:rPr>
          <w:rFonts w:hint="eastAsia" w:ascii="宋体" w:hAnsi="宋体" w:cs="宋体"/>
          <w:b/>
          <w:bCs/>
          <w:color w:val="auto"/>
          <w:sz w:val="24"/>
          <w:szCs w:val="24"/>
        </w:rPr>
        <w:t>七、付款方式及结算方式</w:t>
      </w:r>
    </w:p>
    <w:p>
      <w:pPr>
        <w:spacing w:line="44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付款方式：</w:t>
      </w:r>
    </w:p>
    <w:p>
      <w:pPr>
        <w:spacing w:line="480" w:lineRule="exact"/>
        <w:ind w:firstLine="480"/>
        <w:rPr>
          <w:rFonts w:ascii="宋体"/>
          <w:color w:val="auto"/>
          <w:sz w:val="24"/>
          <w:szCs w:val="24"/>
        </w:rPr>
      </w:pPr>
      <w:r>
        <w:rPr>
          <w:rFonts w:hint="eastAsia" w:ascii="宋体" w:hAnsi="宋体" w:cs="宋体"/>
          <w:color w:val="auto"/>
          <w:sz w:val="24"/>
          <w:szCs w:val="24"/>
        </w:rPr>
        <w:t>合同签定后</w:t>
      </w:r>
      <w:r>
        <w:rPr>
          <w:rFonts w:ascii="宋体" w:hAnsi="宋体" w:cs="宋体"/>
          <w:color w:val="auto"/>
          <w:sz w:val="24"/>
          <w:szCs w:val="24"/>
        </w:rPr>
        <w:t>7</w:t>
      </w:r>
      <w:r>
        <w:rPr>
          <w:rFonts w:hint="eastAsia" w:ascii="宋体" w:hAnsi="宋体" w:cs="宋体"/>
          <w:color w:val="auto"/>
          <w:sz w:val="24"/>
          <w:szCs w:val="24"/>
        </w:rPr>
        <w:t>日内支付合同总价的</w:t>
      </w:r>
      <w:r>
        <w:rPr>
          <w:rFonts w:ascii="宋体" w:hAnsi="宋体" w:cs="宋体"/>
          <w:color w:val="auto"/>
          <w:sz w:val="24"/>
          <w:szCs w:val="24"/>
        </w:rPr>
        <w:t>30%</w:t>
      </w:r>
      <w:r>
        <w:rPr>
          <w:rFonts w:hint="eastAsia" w:ascii="宋体" w:hAnsi="宋体" w:cs="宋体"/>
          <w:color w:val="auto"/>
          <w:sz w:val="24"/>
          <w:szCs w:val="24"/>
        </w:rPr>
        <w:t>作为预付款；中标人按招标人要求将货物送到指定地点并完成安装调试，经招标人验收全部合格后付至合同款的</w:t>
      </w:r>
      <w:r>
        <w:rPr>
          <w:rFonts w:ascii="宋体" w:hAnsi="宋体" w:cs="宋体"/>
          <w:color w:val="auto"/>
          <w:sz w:val="24"/>
          <w:szCs w:val="24"/>
        </w:rPr>
        <w:t>80%;</w:t>
      </w:r>
      <w:r>
        <w:rPr>
          <w:rFonts w:hint="eastAsia" w:ascii="宋体" w:hAnsi="宋体" w:cs="宋体"/>
          <w:color w:val="auto"/>
          <w:sz w:val="24"/>
          <w:szCs w:val="24"/>
        </w:rPr>
        <w:t>余款在质保期满后一次性结清。（结算时，中标人须提供全额税务发票）；</w:t>
      </w:r>
    </w:p>
    <w:p>
      <w:pPr>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以上付款结合县级财政年度预算支付；</w:t>
      </w:r>
    </w:p>
    <w:p>
      <w:pPr>
        <w:spacing w:line="440" w:lineRule="exact"/>
        <w:ind w:firstLine="482"/>
        <w:rPr>
          <w:rFonts w:ascii="宋体"/>
          <w:b w:val="0"/>
          <w:bCs w:val="0"/>
          <w:color w:val="auto"/>
          <w:sz w:val="24"/>
          <w:szCs w:val="24"/>
        </w:rPr>
      </w:pPr>
      <w:r>
        <w:rPr>
          <w:rFonts w:hint="eastAsia" w:ascii="宋体" w:hAnsi="宋体" w:cs="宋体"/>
          <w:b w:val="0"/>
          <w:bCs w:val="0"/>
          <w:color w:val="auto"/>
          <w:sz w:val="24"/>
          <w:szCs w:val="24"/>
          <w:highlight w:val="none"/>
        </w:rPr>
        <w:t>3.结算方式：按时结算。</w:t>
      </w:r>
    </w:p>
    <w:p>
      <w:pPr>
        <w:spacing w:line="440" w:lineRule="exact"/>
        <w:ind w:firstLine="482"/>
        <w:rPr>
          <w:rFonts w:hint="eastAsia" w:ascii="宋体" w:hAnsi="宋体" w:cs="宋体"/>
          <w:b/>
          <w:bCs/>
          <w:color w:val="auto"/>
          <w:sz w:val="24"/>
          <w:szCs w:val="24"/>
          <w:highlight w:val="none"/>
        </w:rPr>
      </w:pPr>
      <w:r>
        <w:rPr>
          <w:rFonts w:hint="eastAsia" w:ascii="宋体" w:hAnsi="宋体" w:cs="宋体"/>
          <w:b/>
          <w:bCs/>
          <w:color w:val="auto"/>
          <w:sz w:val="24"/>
          <w:szCs w:val="24"/>
        </w:rPr>
        <w:t>八、甲方义务</w:t>
      </w:r>
    </w:p>
    <w:p>
      <w:pPr>
        <w:spacing w:line="440" w:lineRule="exact"/>
        <w:ind w:firstLine="480"/>
        <w:rPr>
          <w:rFonts w:ascii="宋体"/>
          <w:b/>
          <w:bCs/>
          <w:color w:val="auto"/>
          <w:sz w:val="24"/>
          <w:szCs w:val="24"/>
        </w:rPr>
      </w:pPr>
      <w:r>
        <w:rPr>
          <w:rFonts w:hint="eastAsia" w:ascii="宋体" w:hAnsi="宋体" w:cs="宋体"/>
          <w:color w:val="auto"/>
          <w:sz w:val="24"/>
          <w:szCs w:val="24"/>
        </w:rPr>
        <w:t>负责本项目的组织协商，及时通知乙方受理项目，配合乙方做好相关资料收集和准备工作</w:t>
      </w:r>
      <w:r>
        <w:rPr>
          <w:rFonts w:hint="eastAsia" w:ascii="宋体" w:hAnsi="宋体" w:cs="宋体"/>
          <w:color w:val="auto"/>
          <w:spacing w:val="-6"/>
          <w:sz w:val="24"/>
          <w:szCs w:val="24"/>
        </w:rPr>
        <w:t>。</w:t>
      </w:r>
    </w:p>
    <w:p>
      <w:pPr>
        <w:spacing w:line="440" w:lineRule="exact"/>
        <w:ind w:firstLine="482"/>
        <w:rPr>
          <w:rFonts w:ascii="宋体"/>
          <w:b/>
          <w:bCs/>
          <w:color w:val="auto"/>
          <w:sz w:val="24"/>
          <w:szCs w:val="24"/>
        </w:rPr>
      </w:pPr>
      <w:r>
        <w:rPr>
          <w:rFonts w:hint="eastAsia" w:ascii="宋体" w:hAnsi="宋体" w:cs="宋体"/>
          <w:b/>
          <w:bCs/>
          <w:color w:val="auto"/>
          <w:sz w:val="24"/>
          <w:szCs w:val="24"/>
        </w:rPr>
        <w:t>九、乙方义务</w:t>
      </w:r>
    </w:p>
    <w:p>
      <w:pPr>
        <w:spacing w:line="46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严格按照甲方的委托要求独立开展勘界工作，并保证及时高质量完成甲方交办任务。乙方不得将本合同的全部或部分转包给第三方。</w:t>
      </w:r>
    </w:p>
    <w:p>
      <w:pPr>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乙方向甲方提交的所有成果，知识产权归甲方所有。</w:t>
      </w:r>
    </w:p>
    <w:p>
      <w:pPr>
        <w:spacing w:line="46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甲方有权对乙方工作实施监管，并按照合同的约定对乙方随时提出工作要求，乙方应当接受。</w:t>
      </w:r>
    </w:p>
    <w:p>
      <w:pPr>
        <w:spacing w:line="440" w:lineRule="exact"/>
        <w:ind w:firstLine="482"/>
        <w:rPr>
          <w:rFonts w:ascii="宋体"/>
          <w:b/>
          <w:bCs/>
          <w:color w:val="auto"/>
          <w:sz w:val="24"/>
          <w:szCs w:val="24"/>
        </w:rPr>
      </w:pPr>
      <w:r>
        <w:rPr>
          <w:rFonts w:hint="eastAsia" w:ascii="宋体" w:hAnsi="宋体" w:cs="宋体"/>
          <w:b/>
          <w:bCs/>
          <w:color w:val="auto"/>
          <w:sz w:val="24"/>
          <w:szCs w:val="24"/>
        </w:rPr>
        <w:t>十、违约责任</w:t>
      </w:r>
    </w:p>
    <w:p>
      <w:pPr>
        <w:spacing w:line="46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合同一方不履行合同义务或者履行合同义务不符合约定的，应当承担继续履行、采取补救措施或者赔偿损失等违约责任。</w:t>
      </w:r>
    </w:p>
    <w:p>
      <w:pPr>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甲方的违约责任</w:t>
      </w:r>
    </w:p>
    <w:p>
      <w:pPr>
        <w:spacing w:line="460" w:lineRule="exact"/>
        <w:ind w:firstLine="480"/>
        <w:rPr>
          <w:rFonts w:ascii="宋体"/>
          <w:color w:val="auto"/>
          <w:sz w:val="24"/>
          <w:szCs w:val="24"/>
        </w:rPr>
      </w:pPr>
      <w:r>
        <w:rPr>
          <w:rFonts w:hint="eastAsia" w:ascii="宋体" w:hAnsi="宋体" w:cs="宋体"/>
          <w:color w:val="auto"/>
          <w:sz w:val="24"/>
          <w:szCs w:val="24"/>
        </w:rPr>
        <w:t>甲方违反合同约定，造成乙方经济损失的，甲方应承担相关损失。</w:t>
      </w:r>
    </w:p>
    <w:p>
      <w:pPr>
        <w:spacing w:line="46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乙方的违约责任</w:t>
      </w:r>
    </w:p>
    <w:p>
      <w:pPr>
        <w:spacing w:line="460" w:lineRule="exact"/>
        <w:ind w:firstLine="480"/>
        <w:rPr>
          <w:rFonts w:ascii="宋体"/>
          <w:b/>
          <w:bCs/>
          <w:color w:val="auto"/>
          <w:sz w:val="24"/>
          <w:szCs w:val="24"/>
        </w:rPr>
      </w:pPr>
      <w:r>
        <w:rPr>
          <w:rFonts w:ascii="宋体" w:hAnsi="宋体" w:cs="宋体"/>
          <w:b/>
          <w:bCs/>
          <w:color w:val="auto"/>
          <w:sz w:val="24"/>
          <w:szCs w:val="24"/>
        </w:rPr>
        <w:t>3.1</w:t>
      </w:r>
      <w:r>
        <w:rPr>
          <w:rFonts w:hint="eastAsia" w:ascii="宋体" w:hAnsi="宋体" w:cs="宋体"/>
          <w:b/>
          <w:bCs/>
          <w:color w:val="auto"/>
          <w:sz w:val="24"/>
          <w:szCs w:val="24"/>
        </w:rPr>
        <w:t>乙方如不能按文件要求完成该项目，甲方有权取消合同，并扣除乙方全部履约保证金，同时承担对甲方造成的一切损失及责任。</w:t>
      </w:r>
      <w:r>
        <w:rPr>
          <w:rFonts w:ascii="宋体" w:hAnsi="宋体" w:cs="宋体"/>
          <w:b/>
          <w:bCs/>
          <w:color w:val="auto"/>
          <w:sz w:val="24"/>
          <w:szCs w:val="24"/>
        </w:rPr>
        <w:t>(</w:t>
      </w:r>
      <w:r>
        <w:rPr>
          <w:rFonts w:hint="eastAsia" w:ascii="宋体" w:hAnsi="宋体" w:cs="宋体"/>
          <w:b/>
          <w:bCs/>
          <w:color w:val="auto"/>
          <w:sz w:val="24"/>
          <w:szCs w:val="24"/>
        </w:rPr>
        <w:t>本项目须在</w:t>
      </w:r>
      <w:r>
        <w:rPr>
          <w:rFonts w:hint="eastAsia" w:ascii="宋体" w:hAnsi="宋体" w:cs="宋体"/>
          <w:b/>
          <w:bCs/>
          <w:color w:val="auto"/>
          <w:spacing w:val="-4"/>
          <w:sz w:val="24"/>
          <w:szCs w:val="24"/>
          <w:lang w:eastAsia="zh-CN"/>
        </w:rPr>
        <w:t>2024年5月30日前</w:t>
      </w:r>
      <w:r>
        <w:rPr>
          <w:rFonts w:hint="eastAsia" w:ascii="宋体" w:hAnsi="宋体" w:cs="宋体"/>
          <w:b/>
          <w:bCs/>
          <w:color w:val="auto"/>
          <w:spacing w:val="-4"/>
          <w:sz w:val="24"/>
          <w:szCs w:val="24"/>
        </w:rPr>
        <w:t>完成全部设备的采购、安装、调试工作，并通过验收合格</w:t>
      </w:r>
      <w:r>
        <w:rPr>
          <w:rFonts w:ascii="宋体" w:hAnsi="宋体" w:cs="宋体"/>
          <w:b/>
          <w:bCs/>
          <w:color w:val="auto"/>
          <w:sz w:val="24"/>
          <w:szCs w:val="24"/>
        </w:rPr>
        <w:t>)</w:t>
      </w:r>
    </w:p>
    <w:p>
      <w:pPr>
        <w:spacing w:line="460" w:lineRule="exact"/>
        <w:ind w:firstLine="480"/>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乙方违反合同约定，未能达到约定的服务内容，或出现重大安全事故，甲方有权终止合同；造成甲方经济损失的，乙方应给与甲方经济赔偿，并承担相应的法律责任。</w:t>
      </w:r>
    </w:p>
    <w:p>
      <w:pPr>
        <w:spacing w:line="440" w:lineRule="exact"/>
        <w:ind w:firstLine="482"/>
        <w:rPr>
          <w:rFonts w:ascii="宋体"/>
          <w:b/>
          <w:bCs/>
          <w:color w:val="auto"/>
          <w:sz w:val="24"/>
          <w:szCs w:val="24"/>
        </w:rPr>
      </w:pPr>
      <w:r>
        <w:rPr>
          <w:rFonts w:hint="eastAsia" w:ascii="宋体" w:hAnsi="宋体" w:cs="宋体"/>
          <w:b/>
          <w:bCs/>
          <w:color w:val="auto"/>
          <w:sz w:val="24"/>
          <w:szCs w:val="24"/>
        </w:rPr>
        <w:t>十一、不可抗力事件处理</w:t>
      </w:r>
    </w:p>
    <w:p>
      <w:pPr>
        <w:spacing w:line="46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在合同有效期内，任何一方因不可抗力事件导致不能履行合同，则合同履行期可延长，其延长期与不可抗力影响期相同。</w:t>
      </w:r>
    </w:p>
    <w:p>
      <w:pPr>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不可抗力事件发生后，应立即通知对方，并寄送有关权威机构出具的证明。</w:t>
      </w:r>
    </w:p>
    <w:p>
      <w:pPr>
        <w:spacing w:line="46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不可抗力事件延续</w:t>
      </w:r>
      <w:r>
        <w:rPr>
          <w:rFonts w:ascii="宋体" w:hAnsi="宋体" w:cs="宋体"/>
          <w:color w:val="auto"/>
          <w:sz w:val="24"/>
          <w:szCs w:val="24"/>
        </w:rPr>
        <w:t>120</w:t>
      </w:r>
      <w:r>
        <w:rPr>
          <w:rFonts w:hint="eastAsia" w:ascii="宋体" w:hAnsi="宋体" w:cs="宋体"/>
          <w:color w:val="auto"/>
          <w:sz w:val="24"/>
          <w:szCs w:val="24"/>
        </w:rPr>
        <w:t>天以上，双方应通过友好协商，确定是否继续履行合同。</w:t>
      </w:r>
    </w:p>
    <w:p>
      <w:pPr>
        <w:spacing w:line="440" w:lineRule="exact"/>
        <w:ind w:firstLine="482"/>
        <w:rPr>
          <w:rFonts w:ascii="宋体"/>
          <w:b/>
          <w:bCs/>
          <w:color w:val="auto"/>
          <w:sz w:val="24"/>
          <w:szCs w:val="24"/>
        </w:rPr>
      </w:pPr>
      <w:r>
        <w:rPr>
          <w:rFonts w:hint="eastAsia" w:ascii="宋体" w:hAnsi="宋体" w:cs="宋体"/>
          <w:b/>
          <w:bCs/>
          <w:color w:val="auto"/>
          <w:sz w:val="24"/>
          <w:szCs w:val="24"/>
        </w:rPr>
        <w:t>十二、争议的解决</w:t>
      </w:r>
    </w:p>
    <w:p>
      <w:pPr>
        <w:spacing w:line="440" w:lineRule="exact"/>
        <w:ind w:firstLine="480"/>
        <w:rPr>
          <w:rFonts w:ascii="宋体"/>
          <w:color w:val="auto"/>
          <w:sz w:val="24"/>
          <w:szCs w:val="24"/>
        </w:rPr>
      </w:pPr>
      <w:r>
        <w:rPr>
          <w:rFonts w:hint="eastAsia" w:ascii="宋体" w:hAnsi="宋体" w:cs="宋体"/>
          <w:color w:val="auto"/>
          <w:sz w:val="24"/>
          <w:szCs w:val="24"/>
        </w:rPr>
        <w:t>本合同在履行过程中发生争议，由当事人双方协商解决，协商不成，双方同意将争议提交甲方所在地有管辖权的人民法院解决。</w:t>
      </w:r>
    </w:p>
    <w:p>
      <w:pPr>
        <w:spacing w:line="440" w:lineRule="exact"/>
        <w:ind w:firstLine="482"/>
        <w:rPr>
          <w:rFonts w:ascii="宋体"/>
          <w:b/>
          <w:bCs/>
          <w:color w:val="auto"/>
          <w:sz w:val="24"/>
          <w:szCs w:val="24"/>
        </w:rPr>
      </w:pPr>
      <w:r>
        <w:rPr>
          <w:rFonts w:hint="eastAsia" w:ascii="宋体" w:hAnsi="宋体" w:cs="宋体"/>
          <w:b/>
          <w:bCs/>
          <w:color w:val="auto"/>
          <w:sz w:val="24"/>
          <w:szCs w:val="24"/>
        </w:rPr>
        <w:t>十三、合同生效及其它约定事项</w:t>
      </w:r>
    </w:p>
    <w:p>
      <w:pPr>
        <w:widowControl/>
        <w:spacing w:line="46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合同执行期内，甲、乙双方均不得随意变更或解除合同。合同如有未尽事宜，须经双方共同协商，做出补充规定，补充规定与合同具有同等效力。</w:t>
      </w:r>
    </w:p>
    <w:p>
      <w:pPr>
        <w:widowControl/>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任何一方无权在没有另一方事先书面同意的情况下，向第三方给予、授予和转让本合同所规定的任何权利和义务。</w:t>
      </w:r>
    </w:p>
    <w:p>
      <w:pPr>
        <w:widowControl/>
        <w:tabs>
          <w:tab w:val="left" w:pos="630"/>
        </w:tabs>
        <w:spacing w:line="46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本合同自甲乙双方代表签字盖章之日起生效，一式陆份，甲乙双方各贰份，江苏辰通项目管理有限公司贰份。</w:t>
      </w:r>
    </w:p>
    <w:p>
      <w:pPr>
        <w:spacing w:line="460" w:lineRule="exact"/>
        <w:ind w:firstLine="48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本合同附件包括：招标文件、中标通知书、投标文件。</w:t>
      </w:r>
    </w:p>
    <w:p>
      <w:pPr>
        <w:spacing w:line="460" w:lineRule="exact"/>
        <w:ind w:firstLine="482"/>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该合同在签订之日起</w:t>
      </w:r>
      <w:r>
        <w:rPr>
          <w:rFonts w:ascii="宋体" w:hAnsi="宋体" w:cs="宋体"/>
          <w:b/>
          <w:bCs/>
          <w:color w:val="auto"/>
          <w:sz w:val="24"/>
          <w:szCs w:val="24"/>
        </w:rPr>
        <w:t>2</w:t>
      </w:r>
      <w:r>
        <w:rPr>
          <w:rFonts w:hint="eastAsia" w:ascii="宋体" w:hAnsi="宋体" w:cs="宋体"/>
          <w:b/>
          <w:bCs/>
          <w:color w:val="auto"/>
          <w:sz w:val="24"/>
          <w:szCs w:val="24"/>
        </w:rPr>
        <w:t>个工作日内在江苏省政府采购网、盐城市政府采购网上予以公示。</w:t>
      </w:r>
    </w:p>
    <w:p>
      <w:pPr>
        <w:spacing w:line="460" w:lineRule="exact"/>
        <w:ind w:firstLine="482"/>
        <w:rPr>
          <w:rFonts w:ascii="宋体"/>
          <w:b/>
          <w:bCs/>
          <w:color w:val="auto"/>
          <w:sz w:val="24"/>
          <w:szCs w:val="24"/>
        </w:rPr>
      </w:pPr>
      <w:r>
        <w:rPr>
          <w:rFonts w:hint="eastAsia" w:ascii="宋体" w:hAnsi="宋体" w:cs="宋体"/>
          <w:b/>
          <w:bCs/>
          <w:color w:val="auto"/>
          <w:sz w:val="24"/>
          <w:szCs w:val="24"/>
        </w:rPr>
        <w:t>十四、合同生效</w:t>
      </w:r>
    </w:p>
    <w:p>
      <w:pPr>
        <w:shd w:val="clear" w:color="auto" w:fill="FFFFFF"/>
        <w:spacing w:line="460" w:lineRule="exact"/>
        <w:ind w:firstLine="480"/>
        <w:rPr>
          <w:rFonts w:ascii="宋体"/>
          <w:color w:val="auto"/>
          <w:sz w:val="24"/>
          <w:szCs w:val="24"/>
        </w:rPr>
      </w:pPr>
      <w:r>
        <w:rPr>
          <w:rFonts w:hint="eastAsia" w:ascii="宋体" w:hAnsi="宋体" w:cs="宋体"/>
          <w:color w:val="auto"/>
          <w:sz w:val="24"/>
          <w:szCs w:val="24"/>
        </w:rPr>
        <w:t>合同订立时间：</w:t>
      </w:r>
    </w:p>
    <w:p>
      <w:pPr>
        <w:pStyle w:val="42"/>
        <w:ind w:left="0" w:firstLine="480"/>
        <w:rPr>
          <w:rFonts w:ascii="宋体" w:cs="Calibri"/>
          <w:color w:val="auto"/>
        </w:rPr>
      </w:pPr>
      <w:r>
        <w:rPr>
          <w:rFonts w:hint="eastAsia" w:ascii="宋体" w:hAnsi="宋体" w:cs="宋体"/>
          <w:color w:val="auto"/>
        </w:rPr>
        <w:t>合同订立地点：</w:t>
      </w:r>
    </w:p>
    <w:p>
      <w:pPr>
        <w:shd w:val="clear" w:color="auto" w:fill="FFFFFF"/>
        <w:spacing w:line="460" w:lineRule="exact"/>
        <w:ind w:firstLine="480"/>
        <w:rPr>
          <w:rFonts w:ascii="宋体"/>
          <w:color w:val="auto"/>
          <w:sz w:val="24"/>
          <w:szCs w:val="24"/>
        </w:rPr>
      </w:pPr>
      <w:r>
        <w:rPr>
          <w:rFonts w:hint="eastAsia" w:ascii="宋体" w:hAnsi="宋体" w:cs="宋体"/>
          <w:color w:val="auto"/>
          <w:sz w:val="24"/>
          <w:szCs w:val="24"/>
        </w:rPr>
        <w:t>本合同双方约定：后生效。</w:t>
      </w:r>
    </w:p>
    <w:p>
      <w:pPr>
        <w:widowControl/>
        <w:tabs>
          <w:tab w:val="left" w:pos="810"/>
          <w:tab w:val="left" w:pos="907"/>
          <w:tab w:val="left" w:pos="1265"/>
        </w:tabs>
        <w:spacing w:line="460" w:lineRule="exact"/>
        <w:ind w:firstLine="480"/>
        <w:outlineLvl w:val="2"/>
        <w:rPr>
          <w:rFonts w:ascii="宋体"/>
          <w:color w:val="auto"/>
          <w:sz w:val="24"/>
          <w:szCs w:val="24"/>
        </w:rPr>
      </w:pPr>
    </w:p>
    <w:p>
      <w:pPr>
        <w:spacing w:line="460" w:lineRule="exact"/>
        <w:ind w:firstLine="480"/>
        <w:rPr>
          <w:rFonts w:ascii="宋体"/>
          <w:color w:val="auto"/>
          <w:sz w:val="24"/>
          <w:szCs w:val="24"/>
        </w:rPr>
      </w:pPr>
      <w:r>
        <w:rPr>
          <w:rFonts w:hint="eastAsia" w:ascii="宋体" w:hAnsi="宋体" w:cs="宋体"/>
          <w:color w:val="auto"/>
          <w:sz w:val="24"/>
          <w:szCs w:val="24"/>
        </w:rPr>
        <w:t>甲方：</w:t>
      </w:r>
      <w:r>
        <w:rPr>
          <w:rFonts w:ascii="宋体" w:hAnsi="宋体" w:cs="宋体"/>
          <w:color w:val="auto"/>
          <w:sz w:val="24"/>
          <w:szCs w:val="24"/>
        </w:rPr>
        <w:t xml:space="preserve">                         </w:t>
      </w:r>
      <w:r>
        <w:rPr>
          <w:rFonts w:hint="eastAsia" w:ascii="宋体" w:hAnsi="宋体" w:cs="宋体"/>
          <w:color w:val="auto"/>
          <w:sz w:val="24"/>
          <w:szCs w:val="24"/>
        </w:rPr>
        <w:t>乙方：</w:t>
      </w:r>
    </w:p>
    <w:p>
      <w:pPr>
        <w:spacing w:line="460" w:lineRule="exact"/>
        <w:ind w:firstLine="480"/>
        <w:rPr>
          <w:rFonts w:ascii="宋体"/>
          <w:color w:val="auto"/>
          <w:sz w:val="24"/>
          <w:szCs w:val="24"/>
        </w:rPr>
      </w:pPr>
    </w:p>
    <w:p>
      <w:pPr>
        <w:spacing w:line="460" w:lineRule="exact"/>
        <w:ind w:firstLine="480"/>
        <w:rPr>
          <w:rFonts w:ascii="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r>
        <w:rPr>
          <w:rFonts w:hint="eastAsia" w:ascii="宋体" w:hAnsi="宋体" w:cs="宋体"/>
          <w:color w:val="auto"/>
          <w:sz w:val="24"/>
          <w:szCs w:val="24"/>
        </w:rPr>
        <w:t>地址：</w:t>
      </w:r>
    </w:p>
    <w:p>
      <w:pPr>
        <w:spacing w:line="460" w:lineRule="exact"/>
        <w:ind w:firstLine="480"/>
        <w:rPr>
          <w:rFonts w:ascii="宋体"/>
          <w:color w:val="auto"/>
          <w:sz w:val="24"/>
          <w:szCs w:val="24"/>
        </w:rPr>
      </w:pPr>
      <w:r>
        <w:rPr>
          <w:rFonts w:hint="eastAsia" w:ascii="宋体" w:hAnsi="宋体" w:cs="宋体"/>
          <w:color w:val="auto"/>
          <w:sz w:val="24"/>
          <w:szCs w:val="24"/>
        </w:rPr>
        <w:t>法定代表人或授权代表：</w:t>
      </w:r>
      <w:r>
        <w:rPr>
          <w:rFonts w:ascii="宋体" w:hAnsi="宋体" w:cs="宋体"/>
          <w:color w:val="auto"/>
          <w:sz w:val="24"/>
          <w:szCs w:val="24"/>
        </w:rPr>
        <w:t xml:space="preserve">         </w:t>
      </w:r>
      <w:r>
        <w:rPr>
          <w:rFonts w:hint="eastAsia" w:ascii="宋体" w:hAnsi="宋体" w:cs="宋体"/>
          <w:color w:val="auto"/>
          <w:sz w:val="24"/>
          <w:szCs w:val="24"/>
        </w:rPr>
        <w:t>法定代表人或授权代表：</w:t>
      </w:r>
    </w:p>
    <w:p>
      <w:pPr>
        <w:spacing w:line="460" w:lineRule="exact"/>
        <w:ind w:firstLine="480"/>
        <w:rPr>
          <w:rFonts w:ascii="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 xml:space="preserve">                     </w:t>
      </w:r>
      <w:r>
        <w:rPr>
          <w:rFonts w:hint="eastAsia" w:ascii="宋体" w:hAnsi="宋体" w:cs="宋体"/>
          <w:color w:val="auto"/>
          <w:sz w:val="24"/>
          <w:szCs w:val="24"/>
        </w:rPr>
        <w:t>联系电话：</w:t>
      </w:r>
    </w:p>
    <w:p>
      <w:pPr>
        <w:spacing w:line="460" w:lineRule="exact"/>
        <w:ind w:firstLine="480"/>
        <w:rPr>
          <w:rFonts w:ascii="宋体"/>
          <w:color w:val="auto"/>
          <w:sz w:val="24"/>
          <w:szCs w:val="24"/>
        </w:rPr>
      </w:pPr>
      <w:r>
        <w:rPr>
          <w:rFonts w:hint="eastAsia" w:ascii="宋体" w:hAnsi="宋体" w:cs="宋体"/>
          <w:color w:val="auto"/>
          <w:sz w:val="24"/>
          <w:szCs w:val="24"/>
        </w:rPr>
        <w:t>年月日</w:t>
      </w:r>
      <w:r>
        <w:rPr>
          <w:rFonts w:ascii="宋体" w:hAnsi="宋体" w:cs="宋体"/>
          <w:color w:val="auto"/>
          <w:sz w:val="24"/>
          <w:szCs w:val="24"/>
        </w:rPr>
        <w:t xml:space="preserve">                          </w:t>
      </w:r>
      <w:r>
        <w:rPr>
          <w:rFonts w:hint="eastAsia" w:ascii="宋体" w:hAnsi="宋体" w:cs="宋体"/>
          <w:color w:val="auto"/>
          <w:sz w:val="24"/>
          <w:szCs w:val="24"/>
        </w:rPr>
        <w:t>年月日</w:t>
      </w:r>
    </w:p>
    <w:p>
      <w:pPr>
        <w:pStyle w:val="42"/>
        <w:ind w:left="0"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pStyle w:val="42"/>
        <w:ind w:firstLine="480"/>
        <w:rPr>
          <w:rFonts w:ascii="宋体" w:cs="Calibri"/>
          <w:color w:val="auto"/>
        </w:rPr>
      </w:pPr>
    </w:p>
    <w:p>
      <w:pPr>
        <w:spacing w:line="440" w:lineRule="exact"/>
        <w:ind w:firstLine="480"/>
        <w:rPr>
          <w:rFonts w:ascii="宋体"/>
          <w:color w:val="auto"/>
        </w:rPr>
      </w:pPr>
      <w:bookmarkStart w:id="23" w:name="_Toc130206652"/>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p>
    <w:p>
      <w:pPr>
        <w:pStyle w:val="25"/>
        <w:spacing w:line="480" w:lineRule="exact"/>
        <w:ind w:firstLine="643"/>
        <w:jc w:val="center"/>
        <w:outlineLvl w:val="0"/>
        <w:rPr>
          <w:rFonts w:hAnsi="宋体" w:cs="Calibri"/>
          <w:b/>
          <w:bCs/>
          <w:color w:val="auto"/>
          <w:sz w:val="32"/>
          <w:szCs w:val="32"/>
        </w:rPr>
      </w:pPr>
      <w:r>
        <w:rPr>
          <w:rFonts w:hint="eastAsia" w:hAnsi="宋体"/>
          <w:b/>
          <w:bCs/>
          <w:color w:val="auto"/>
          <w:sz w:val="32"/>
          <w:szCs w:val="32"/>
        </w:rPr>
        <w:t>第六章</w:t>
      </w:r>
      <w:r>
        <w:rPr>
          <w:rFonts w:hint="eastAsia" w:hAnsi="宋体"/>
          <w:b/>
          <w:bCs/>
          <w:color w:val="auto"/>
          <w:sz w:val="32"/>
          <w:szCs w:val="32"/>
          <w:lang w:val="en-US" w:eastAsia="zh-CN"/>
        </w:rPr>
        <w:t xml:space="preserve">  </w:t>
      </w:r>
      <w:r>
        <w:rPr>
          <w:rFonts w:hint="eastAsia" w:hAnsi="宋体"/>
          <w:b/>
          <w:bCs/>
          <w:color w:val="auto"/>
          <w:sz w:val="32"/>
          <w:szCs w:val="32"/>
        </w:rPr>
        <w:t>投标文件及格式</w:t>
      </w:r>
      <w:bookmarkEnd w:id="23"/>
    </w:p>
    <w:p>
      <w:pPr>
        <w:spacing w:before="120" w:after="120" w:line="460" w:lineRule="exact"/>
        <w:ind w:firstLine="643"/>
        <w:jc w:val="center"/>
        <w:outlineLvl w:val="0"/>
        <w:rPr>
          <w:rFonts w:ascii="宋体"/>
          <w:b/>
          <w:bCs/>
          <w:color w:val="auto"/>
          <w:sz w:val="32"/>
          <w:szCs w:val="32"/>
        </w:rPr>
      </w:pPr>
      <w:bookmarkStart w:id="24" w:name="_Toc130206653"/>
      <w:bookmarkStart w:id="25" w:name="_Toc101357899"/>
      <w:bookmarkStart w:id="26" w:name="_Toc58186236"/>
      <w:bookmarkStart w:id="27" w:name="_Toc120519618"/>
      <w:bookmarkStart w:id="28" w:name="_Toc101166955"/>
      <w:r>
        <w:rPr>
          <w:rFonts w:hint="eastAsia" w:ascii="宋体" w:hAnsi="宋体" w:cs="宋体"/>
          <w:b/>
          <w:bCs/>
          <w:color w:val="auto"/>
          <w:sz w:val="32"/>
          <w:szCs w:val="32"/>
        </w:rPr>
        <w:t>（一）开标一览表</w:t>
      </w:r>
      <w:bookmarkEnd w:id="24"/>
    </w:p>
    <w:p>
      <w:pPr>
        <w:widowControl/>
        <w:spacing w:before="100" w:beforeAutospacing="1" w:after="100" w:afterAutospacing="1"/>
        <w:jc w:val="left"/>
        <w:rPr>
          <w:rFonts w:ascii="宋体"/>
          <w:color w:val="auto"/>
          <w:sz w:val="24"/>
          <w:szCs w:val="24"/>
        </w:rPr>
      </w:pPr>
      <w:r>
        <w:rPr>
          <w:rFonts w:hint="eastAsia" w:ascii="宋体" w:hAnsi="宋体" w:cs="宋体"/>
          <w:color w:val="auto"/>
          <w:sz w:val="24"/>
          <w:szCs w:val="24"/>
        </w:rPr>
        <w:t>项目编号：</w:t>
      </w:r>
      <w:r>
        <w:rPr>
          <w:rFonts w:ascii="宋体" w:hAnsi="宋体" w:cs="宋体"/>
          <w:color w:val="auto"/>
          <w:sz w:val="24"/>
          <w:szCs w:val="24"/>
        </w:rPr>
        <w:t>JSZC-320925-CTGL-G2024-0004</w:t>
      </w:r>
    </w:p>
    <w:p>
      <w:pPr>
        <w:widowControl/>
        <w:spacing w:before="100" w:beforeAutospacing="1" w:after="100" w:afterAutospacing="1"/>
        <w:jc w:val="left"/>
        <w:rPr>
          <w:rFonts w:ascii="宋体"/>
          <w:color w:val="auto"/>
          <w:sz w:val="24"/>
          <w:szCs w:val="24"/>
        </w:rPr>
      </w:pPr>
      <w:r>
        <w:rPr>
          <w:rFonts w:hint="eastAsia" w:ascii="宋体" w:hAnsi="宋体" w:cs="宋体"/>
          <w:color w:val="auto"/>
          <w:sz w:val="24"/>
          <w:szCs w:val="24"/>
        </w:rPr>
        <w:t>货币单位：人民币元</w:t>
      </w:r>
    </w:p>
    <w:tbl>
      <w:tblPr>
        <w:tblStyle w:val="43"/>
        <w:tblW w:w="918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4"/>
        <w:gridCol w:w="2736"/>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3184" w:type="dxa"/>
            <w:noWrap w:val="0"/>
            <w:vAlign w:val="center"/>
          </w:tcPr>
          <w:p>
            <w:pPr>
              <w:widowControl/>
              <w:spacing w:before="100" w:beforeAutospacing="1" w:after="100" w:afterAutospacing="1"/>
              <w:jc w:val="center"/>
              <w:rPr>
                <w:rFonts w:ascii="宋体"/>
                <w:color w:val="auto"/>
                <w:sz w:val="24"/>
                <w:szCs w:val="24"/>
              </w:rPr>
            </w:pPr>
            <w:r>
              <w:rPr>
                <w:rFonts w:hint="eastAsia" w:ascii="宋体" w:hAnsi="宋体" w:cs="宋体"/>
                <w:color w:val="auto"/>
                <w:sz w:val="24"/>
                <w:szCs w:val="24"/>
              </w:rPr>
              <w:t>项目名称</w:t>
            </w:r>
          </w:p>
        </w:tc>
        <w:tc>
          <w:tcPr>
            <w:tcW w:w="2736" w:type="dxa"/>
            <w:noWrap w:val="0"/>
            <w:vAlign w:val="center"/>
          </w:tcPr>
          <w:p>
            <w:pPr>
              <w:widowControl/>
              <w:spacing w:before="100" w:beforeAutospacing="1" w:after="100" w:afterAutospacing="1"/>
              <w:jc w:val="center"/>
              <w:rPr>
                <w:rFonts w:ascii="宋体"/>
                <w:color w:val="auto"/>
                <w:sz w:val="24"/>
                <w:szCs w:val="24"/>
              </w:rPr>
            </w:pPr>
            <w:r>
              <w:rPr>
                <w:rFonts w:hint="eastAsia" w:ascii="宋体" w:hAnsi="宋体" w:cs="宋体"/>
                <w:color w:val="auto"/>
                <w:sz w:val="24"/>
                <w:szCs w:val="24"/>
              </w:rPr>
              <w:t>项目内容</w:t>
            </w:r>
          </w:p>
        </w:tc>
        <w:tc>
          <w:tcPr>
            <w:tcW w:w="3260" w:type="dxa"/>
            <w:noWrap w:val="0"/>
            <w:vAlign w:val="center"/>
          </w:tcPr>
          <w:p>
            <w:pPr>
              <w:widowControl/>
              <w:spacing w:before="100" w:beforeAutospacing="1" w:after="100" w:afterAutospacing="1"/>
              <w:jc w:val="center"/>
              <w:rPr>
                <w:rFonts w:ascii="宋体"/>
                <w:color w:val="auto"/>
                <w:sz w:val="24"/>
                <w:szCs w:val="24"/>
              </w:rPr>
            </w:pPr>
            <w:r>
              <w:rPr>
                <w:rFonts w:hint="eastAsia" w:ascii="宋体" w:hAnsi="宋体" w:cs="宋体"/>
                <w:color w:val="auto"/>
                <w:sz w:val="24"/>
                <w:szCs w:val="24"/>
              </w:rPr>
              <w:t>总价（小写）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3184" w:type="dxa"/>
            <w:noWrap w:val="0"/>
            <w:vAlign w:val="center"/>
          </w:tcPr>
          <w:p>
            <w:pPr>
              <w:widowControl/>
              <w:spacing w:before="100" w:beforeAutospacing="1" w:after="100" w:afterAutospacing="1"/>
              <w:jc w:val="center"/>
              <w:rPr>
                <w:rFonts w:ascii="宋体"/>
                <w:color w:val="auto"/>
                <w:sz w:val="24"/>
                <w:szCs w:val="24"/>
              </w:rPr>
            </w:pPr>
            <w:r>
              <w:rPr>
                <w:rFonts w:hint="eastAsia" w:ascii="宋体" w:hAnsi="宋体" w:cs="宋体"/>
                <w:color w:val="auto"/>
                <w:sz w:val="24"/>
                <w:szCs w:val="24"/>
              </w:rPr>
              <w:t>建湖县中高考相关考点广播独立双系统升级改造项目</w:t>
            </w:r>
          </w:p>
        </w:tc>
        <w:tc>
          <w:tcPr>
            <w:tcW w:w="2736" w:type="dxa"/>
            <w:noWrap w:val="0"/>
            <w:vAlign w:val="center"/>
          </w:tcPr>
          <w:p>
            <w:pPr>
              <w:widowControl/>
              <w:spacing w:before="100" w:beforeAutospacing="1" w:after="100" w:afterAutospacing="1"/>
              <w:jc w:val="center"/>
              <w:rPr>
                <w:rFonts w:ascii="宋体"/>
                <w:color w:val="auto"/>
                <w:sz w:val="24"/>
                <w:szCs w:val="24"/>
              </w:rPr>
            </w:pPr>
            <w:r>
              <w:rPr>
                <w:rFonts w:hint="eastAsia" w:ascii="宋体" w:hAnsi="宋体" w:cs="宋体"/>
                <w:color w:val="auto"/>
                <w:sz w:val="24"/>
                <w:szCs w:val="24"/>
              </w:rPr>
              <w:t>详见投标文件</w:t>
            </w:r>
          </w:p>
        </w:tc>
        <w:tc>
          <w:tcPr>
            <w:tcW w:w="3260" w:type="dxa"/>
            <w:noWrap w:val="0"/>
            <w:vAlign w:val="center"/>
          </w:tcPr>
          <w:p>
            <w:pPr>
              <w:widowControl/>
              <w:spacing w:before="100" w:beforeAutospacing="1" w:after="100" w:afterAutospacing="1"/>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3184" w:type="dxa"/>
            <w:noWrap w:val="0"/>
            <w:vAlign w:val="center"/>
          </w:tcPr>
          <w:p>
            <w:pPr>
              <w:widowControl/>
              <w:spacing w:before="100" w:beforeAutospacing="1" w:after="100" w:afterAutospacing="1"/>
              <w:jc w:val="center"/>
              <w:rPr>
                <w:rFonts w:ascii="宋体"/>
                <w:color w:val="auto"/>
                <w:sz w:val="24"/>
                <w:szCs w:val="24"/>
              </w:rPr>
            </w:pPr>
            <w:r>
              <w:rPr>
                <w:rFonts w:hint="eastAsia" w:ascii="宋体" w:hAnsi="宋体" w:cs="宋体"/>
                <w:color w:val="auto"/>
                <w:sz w:val="24"/>
                <w:szCs w:val="24"/>
              </w:rPr>
              <w:t>总价（大写）：</w:t>
            </w:r>
          </w:p>
        </w:tc>
        <w:tc>
          <w:tcPr>
            <w:tcW w:w="5996" w:type="dxa"/>
            <w:gridSpan w:val="2"/>
            <w:noWrap w:val="0"/>
            <w:vAlign w:val="center"/>
          </w:tcPr>
          <w:p>
            <w:pPr>
              <w:widowControl/>
              <w:spacing w:before="100" w:beforeAutospacing="1" w:after="100" w:afterAutospacing="1"/>
              <w:rPr>
                <w:rFonts w:ascii="宋体"/>
                <w:color w:val="auto"/>
                <w:sz w:val="24"/>
                <w:szCs w:val="24"/>
              </w:rPr>
            </w:pPr>
          </w:p>
        </w:tc>
      </w:tr>
    </w:tbl>
    <w:p>
      <w:pPr>
        <w:widowControl/>
        <w:spacing w:before="100" w:beforeAutospacing="1" w:after="100" w:afterAutospacing="1"/>
        <w:jc w:val="left"/>
        <w:rPr>
          <w:rFonts w:ascii="宋体"/>
          <w:color w:val="auto"/>
          <w:sz w:val="24"/>
          <w:szCs w:val="24"/>
        </w:rPr>
      </w:pPr>
    </w:p>
    <w:p>
      <w:pPr>
        <w:widowControl/>
        <w:spacing w:before="100" w:beforeAutospacing="1" w:after="100" w:afterAutospacing="1"/>
        <w:jc w:val="left"/>
        <w:rPr>
          <w:rFonts w:ascii="宋体"/>
          <w:color w:val="auto"/>
          <w:sz w:val="24"/>
          <w:szCs w:val="24"/>
        </w:rPr>
      </w:pPr>
    </w:p>
    <w:p>
      <w:pPr>
        <w:widowControl/>
        <w:spacing w:before="100" w:beforeAutospacing="1" w:after="100" w:afterAutospacing="1" w:line="600" w:lineRule="exact"/>
        <w:jc w:val="left"/>
        <w:rPr>
          <w:rFonts w:ascii="宋体"/>
          <w:color w:val="auto"/>
          <w:sz w:val="24"/>
          <w:szCs w:val="24"/>
        </w:rPr>
      </w:pPr>
      <w:r>
        <w:rPr>
          <w:rFonts w:hint="eastAsia" w:ascii="宋体" w:hAnsi="宋体" w:cs="宋体"/>
          <w:color w:val="auto"/>
          <w:sz w:val="24"/>
          <w:szCs w:val="24"/>
        </w:rPr>
        <w:t>投标人公章（电子签章）：</w:t>
      </w:r>
    </w:p>
    <w:p>
      <w:pPr>
        <w:widowControl/>
        <w:spacing w:before="100" w:beforeAutospacing="1" w:after="100" w:afterAutospacing="1" w:line="600" w:lineRule="exact"/>
        <w:ind w:firstLine="480"/>
        <w:jc w:val="left"/>
        <w:rPr>
          <w:rFonts w:ascii="宋体"/>
          <w:color w:val="auto"/>
          <w:sz w:val="24"/>
          <w:szCs w:val="24"/>
        </w:rPr>
      </w:pPr>
      <w:r>
        <w:rPr>
          <w:rFonts w:ascii="宋体"/>
          <w:color w:val="auto"/>
          <w:sz w:val="24"/>
          <w:szCs w:val="24"/>
        </w:rPr>
        <w:t> </w:t>
      </w:r>
      <w:r>
        <w:rPr>
          <w:rFonts w:ascii="宋体" w:hAnsi="宋体" w:cs="宋体"/>
          <w:color w:val="auto"/>
          <w:sz w:val="24"/>
          <w:szCs w:val="24"/>
        </w:rPr>
        <w:t xml:space="preserve">                  </w:t>
      </w:r>
    </w:p>
    <w:p>
      <w:pPr>
        <w:widowControl/>
        <w:spacing w:before="100" w:beforeAutospacing="1" w:after="100" w:afterAutospacing="1" w:line="600" w:lineRule="exact"/>
        <w:ind w:firstLine="480"/>
        <w:jc w:val="left"/>
        <w:rPr>
          <w:rFonts w:ascii="宋体"/>
          <w:color w:val="auto"/>
          <w:sz w:val="24"/>
          <w:szCs w:val="24"/>
        </w:rPr>
      </w:pPr>
    </w:p>
    <w:p>
      <w:pPr>
        <w:widowControl/>
        <w:spacing w:before="100" w:beforeAutospacing="1" w:after="100" w:afterAutospacing="1" w:line="600" w:lineRule="exact"/>
        <w:ind w:firstLine="480"/>
        <w:jc w:val="left"/>
        <w:rPr>
          <w:rFonts w:ascii="宋体"/>
          <w:color w:val="auto"/>
          <w:sz w:val="24"/>
          <w:szCs w:val="24"/>
        </w:rPr>
      </w:pPr>
    </w:p>
    <w:p>
      <w:pPr>
        <w:widowControl/>
        <w:spacing w:before="100" w:beforeAutospacing="1" w:after="100" w:afterAutospacing="1" w:line="600" w:lineRule="exact"/>
        <w:ind w:firstLine="480"/>
        <w:jc w:val="left"/>
        <w:rPr>
          <w:rFonts w:ascii="宋体"/>
          <w:color w:val="auto"/>
          <w:sz w:val="24"/>
          <w:szCs w:val="24"/>
        </w:rPr>
      </w:pPr>
    </w:p>
    <w:p>
      <w:pPr>
        <w:widowControl/>
        <w:spacing w:before="100" w:beforeAutospacing="1" w:after="100" w:afterAutospacing="1" w:line="600" w:lineRule="exact"/>
        <w:ind w:firstLine="480"/>
        <w:jc w:val="left"/>
        <w:rPr>
          <w:rFonts w:ascii="宋体"/>
          <w:color w:val="auto"/>
          <w:sz w:val="24"/>
          <w:szCs w:val="24"/>
        </w:rPr>
      </w:pPr>
    </w:p>
    <w:p>
      <w:pPr>
        <w:widowControl/>
        <w:spacing w:before="100" w:beforeAutospacing="1" w:after="100" w:afterAutospacing="1" w:line="600" w:lineRule="exact"/>
        <w:ind w:firstLine="480"/>
        <w:jc w:val="left"/>
        <w:rPr>
          <w:rFonts w:ascii="宋体"/>
          <w:color w:val="auto"/>
          <w:sz w:val="24"/>
          <w:szCs w:val="24"/>
        </w:rPr>
      </w:pPr>
    </w:p>
    <w:bookmarkEnd w:id="25"/>
    <w:bookmarkEnd w:id="26"/>
    <w:bookmarkEnd w:id="27"/>
    <w:bookmarkEnd w:id="28"/>
    <w:p>
      <w:pPr>
        <w:widowControl/>
        <w:spacing w:before="100" w:beforeAutospacing="1" w:after="100" w:afterAutospacing="1" w:line="600" w:lineRule="exact"/>
        <w:ind w:firstLine="480"/>
        <w:jc w:val="left"/>
        <w:rPr>
          <w:rFonts w:ascii="宋体"/>
          <w:color w:val="auto"/>
          <w:sz w:val="24"/>
          <w:szCs w:val="24"/>
        </w:rPr>
      </w:pPr>
    </w:p>
    <w:p>
      <w:pPr>
        <w:widowControl/>
        <w:spacing w:before="100" w:beforeAutospacing="1" w:after="100" w:afterAutospacing="1" w:line="600" w:lineRule="exact"/>
        <w:ind w:firstLine="643"/>
        <w:jc w:val="center"/>
        <w:rPr>
          <w:rFonts w:ascii="宋体"/>
          <w:b/>
          <w:bCs/>
          <w:color w:val="auto"/>
          <w:sz w:val="32"/>
          <w:szCs w:val="32"/>
        </w:rPr>
      </w:pPr>
      <w:bookmarkStart w:id="29" w:name="_Toc130206654"/>
      <w:bookmarkStart w:id="30" w:name="_Toc120519619"/>
      <w:r>
        <w:rPr>
          <w:rFonts w:hint="eastAsia" w:ascii="宋体" w:hAnsi="宋体" w:cs="宋体"/>
          <w:b/>
          <w:bCs/>
          <w:color w:val="auto"/>
          <w:sz w:val="32"/>
          <w:szCs w:val="32"/>
        </w:rPr>
        <w:t>（二）投标函</w:t>
      </w:r>
      <w:bookmarkEnd w:id="29"/>
      <w:bookmarkEnd w:id="30"/>
    </w:p>
    <w:p>
      <w:pPr>
        <w:spacing w:line="440" w:lineRule="exact"/>
        <w:jc w:val="left"/>
        <w:rPr>
          <w:rFonts w:ascii="宋体"/>
          <w:color w:val="auto"/>
          <w:sz w:val="24"/>
          <w:szCs w:val="24"/>
        </w:rPr>
      </w:pPr>
      <w:bookmarkStart w:id="31" w:name="_Toc120519620"/>
      <w:r>
        <w:rPr>
          <w:rFonts w:hint="eastAsia" w:ascii="宋体" w:hAnsi="宋体" w:cs="宋体"/>
          <w:color w:val="auto"/>
          <w:sz w:val="24"/>
          <w:szCs w:val="24"/>
        </w:rPr>
        <w:t>采购人：</w:t>
      </w:r>
      <w:r>
        <w:rPr>
          <w:rFonts w:hint="eastAsia" w:ascii="宋体" w:hAnsi="宋体" w:cs="宋体"/>
          <w:b/>
          <w:bCs/>
          <w:color w:val="auto"/>
          <w:sz w:val="24"/>
          <w:szCs w:val="24"/>
          <w:u w:val="single"/>
        </w:rPr>
        <w:t>建湖县教育局</w:t>
      </w:r>
    </w:p>
    <w:p>
      <w:pPr>
        <w:spacing w:line="60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pacing w:val="-11"/>
          <w:sz w:val="24"/>
          <w:szCs w:val="24"/>
        </w:rPr>
        <w:t>根据已收到的</w:t>
      </w:r>
      <w:r>
        <w:rPr>
          <w:rFonts w:hint="eastAsia" w:ascii="宋体" w:hAnsi="宋体" w:cs="宋体"/>
          <w:b/>
          <w:bCs/>
          <w:color w:val="auto"/>
          <w:spacing w:val="-11"/>
          <w:sz w:val="24"/>
          <w:szCs w:val="24"/>
          <w:u w:val="single"/>
        </w:rPr>
        <w:t>建湖县中高考相关考点广播独立双系统升级改造项目</w:t>
      </w:r>
      <w:r>
        <w:rPr>
          <w:rFonts w:hint="eastAsia" w:ascii="宋体" w:hAnsi="宋体" w:cs="宋体"/>
          <w:color w:val="auto"/>
          <w:spacing w:val="-11"/>
          <w:sz w:val="24"/>
          <w:szCs w:val="24"/>
        </w:rPr>
        <w:t>的招标文件，</w:t>
      </w:r>
      <w:r>
        <w:rPr>
          <w:rFonts w:hint="eastAsia" w:ascii="宋体" w:hAnsi="宋体" w:cs="宋体"/>
          <w:color w:val="auto"/>
          <w:sz w:val="24"/>
          <w:szCs w:val="24"/>
        </w:rPr>
        <w:t>我单位经市场考察和研究上述项目招标文件的投标须知、相关标准及技术要求和其他有关文件后，按招标文件规定的各项要求，投标总价为（大写）</w:t>
      </w:r>
      <w:r>
        <w:rPr>
          <w:rFonts w:ascii="宋体" w:hAnsi="宋体" w:cs="宋体"/>
          <w:color w:val="auto"/>
          <w:sz w:val="24"/>
          <w:szCs w:val="24"/>
          <w:u w:val="single"/>
        </w:rPr>
        <w:t xml:space="preserve">       </w:t>
      </w:r>
      <w:r>
        <w:rPr>
          <w:rFonts w:hint="eastAsia" w:ascii="宋体" w:hAnsi="宋体" w:cs="宋体"/>
          <w:color w:val="auto"/>
          <w:sz w:val="24"/>
          <w:szCs w:val="24"/>
        </w:rPr>
        <w:t>，（小写）</w:t>
      </w:r>
      <w:r>
        <w:rPr>
          <w:rFonts w:ascii="宋体" w:hAnsi="宋体" w:cs="宋体"/>
          <w:color w:val="auto"/>
          <w:sz w:val="24"/>
          <w:szCs w:val="24"/>
          <w:u w:val="single"/>
        </w:rPr>
        <w:t xml:space="preserve">      </w:t>
      </w:r>
      <w:r>
        <w:rPr>
          <w:rFonts w:hint="eastAsia" w:ascii="宋体" w:hAnsi="宋体" w:cs="宋体"/>
          <w:color w:val="auto"/>
          <w:sz w:val="24"/>
          <w:szCs w:val="24"/>
        </w:rPr>
        <w:t>元的投标报价完成本项目，按招标要求实施此项目。</w:t>
      </w:r>
    </w:p>
    <w:p>
      <w:pPr>
        <w:spacing w:line="440" w:lineRule="exact"/>
        <w:ind w:firstLine="48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合同履行期限：</w:t>
      </w:r>
      <w:r>
        <w:rPr>
          <w:rFonts w:hint="eastAsia" w:ascii="宋体" w:hAnsi="宋体" w:cs="宋体"/>
          <w:b/>
          <w:bCs/>
          <w:color w:val="auto"/>
          <w:spacing w:val="-4"/>
          <w:sz w:val="24"/>
          <w:szCs w:val="24"/>
          <w:lang w:eastAsia="zh-CN"/>
        </w:rPr>
        <w:t>2024年5月30日前</w:t>
      </w:r>
      <w:r>
        <w:rPr>
          <w:rFonts w:hint="eastAsia" w:ascii="宋体" w:hAnsi="宋体" w:cs="宋体"/>
          <w:b/>
          <w:bCs/>
          <w:color w:val="auto"/>
          <w:spacing w:val="-4"/>
          <w:sz w:val="24"/>
          <w:szCs w:val="24"/>
        </w:rPr>
        <w:t>完成全部设备的采购、安装、调试工作，并通过验收合格</w:t>
      </w:r>
      <w:r>
        <w:rPr>
          <w:rFonts w:hint="eastAsia" w:ascii="宋体" w:hAnsi="宋体" w:cs="宋体"/>
          <w:b/>
          <w:bCs/>
          <w:color w:val="auto"/>
          <w:sz w:val="24"/>
          <w:szCs w:val="24"/>
        </w:rPr>
        <w:t>。</w:t>
      </w:r>
    </w:p>
    <w:p>
      <w:pPr>
        <w:spacing w:line="440" w:lineRule="exact"/>
        <w:ind w:firstLine="480"/>
        <w:rPr>
          <w:rFonts w:ascii="宋体"/>
          <w:color w:val="auto"/>
          <w:sz w:val="24"/>
          <w:szCs w:val="24"/>
        </w:rPr>
      </w:pPr>
      <w:r>
        <w:rPr>
          <w:rFonts w:ascii="宋体" w:hAnsi="宋体" w:cs="宋体"/>
          <w:color w:val="auto"/>
          <w:sz w:val="24"/>
          <w:szCs w:val="24"/>
        </w:rPr>
        <w:t>3</w:t>
      </w:r>
      <w:r>
        <w:rPr>
          <w:rFonts w:ascii="宋体" w:cs="宋体"/>
          <w:color w:val="auto"/>
          <w:sz w:val="24"/>
          <w:szCs w:val="24"/>
        </w:rPr>
        <w:t>.</w:t>
      </w:r>
      <w:r>
        <w:rPr>
          <w:rFonts w:hint="eastAsia" w:ascii="宋体" w:hAnsi="宋体" w:cs="宋体"/>
          <w:color w:val="auto"/>
          <w:sz w:val="24"/>
          <w:szCs w:val="24"/>
        </w:rPr>
        <w:t>我方本项目的投标核心产品“清单第</w:t>
      </w:r>
      <w:r>
        <w:rPr>
          <w:rFonts w:ascii="宋体" w:hAnsi="宋体" w:cs="宋体"/>
          <w:color w:val="auto"/>
          <w:sz w:val="24"/>
          <w:szCs w:val="24"/>
        </w:rPr>
        <w:t>16</w:t>
      </w:r>
      <w:r>
        <w:rPr>
          <w:rFonts w:hint="eastAsia" w:ascii="宋体" w:hAnsi="宋体" w:cs="宋体"/>
          <w:color w:val="auto"/>
          <w:sz w:val="24"/>
          <w:szCs w:val="24"/>
        </w:rPr>
        <w:t>项：控制主机”品牌为</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w:t>
      </w:r>
    </w:p>
    <w:p>
      <w:pPr>
        <w:spacing w:line="440" w:lineRule="exact"/>
        <w:ind w:firstLine="480"/>
        <w:rPr>
          <w:rFonts w:ascii="宋体"/>
          <w:color w:val="auto"/>
          <w:sz w:val="24"/>
          <w:szCs w:val="24"/>
        </w:rPr>
      </w:pPr>
      <w:r>
        <w:rPr>
          <w:rFonts w:ascii="宋体" w:hAnsi="宋体" w:cs="宋体"/>
          <w:color w:val="auto"/>
          <w:sz w:val="24"/>
          <w:szCs w:val="24"/>
        </w:rPr>
        <w:t>4</w:t>
      </w:r>
      <w:r>
        <w:rPr>
          <w:rFonts w:ascii="宋体" w:cs="宋体"/>
          <w:color w:val="auto"/>
          <w:sz w:val="24"/>
          <w:szCs w:val="24"/>
        </w:rPr>
        <w:t>.</w:t>
      </w:r>
      <w:r>
        <w:rPr>
          <w:rFonts w:hint="eastAsia" w:ascii="宋体" w:hAnsi="宋体" w:cs="宋体"/>
          <w:color w:val="auto"/>
          <w:sz w:val="24"/>
          <w:szCs w:val="24"/>
        </w:rPr>
        <w:t>如果我公司中标，保证不转包、不违法分包，保证派驻投标文件提供的项目组人员及时进场。</w:t>
      </w:r>
    </w:p>
    <w:p>
      <w:pPr>
        <w:spacing w:line="440" w:lineRule="exact"/>
        <w:ind w:firstLine="480"/>
        <w:rPr>
          <w:rFonts w:ascii="宋体"/>
          <w:color w:val="auto"/>
          <w:sz w:val="24"/>
          <w:szCs w:val="24"/>
        </w:rPr>
      </w:pPr>
      <w:r>
        <w:rPr>
          <w:rFonts w:ascii="宋体" w:hAnsi="宋体" w:cs="宋体"/>
          <w:color w:val="auto"/>
          <w:sz w:val="24"/>
          <w:szCs w:val="24"/>
        </w:rPr>
        <w:t>5</w:t>
      </w:r>
      <w:r>
        <w:rPr>
          <w:rFonts w:ascii="宋体" w:cs="宋体"/>
          <w:color w:val="auto"/>
          <w:sz w:val="24"/>
          <w:szCs w:val="24"/>
        </w:rPr>
        <w:t>.</w:t>
      </w:r>
      <w:r>
        <w:rPr>
          <w:rFonts w:hint="eastAsia" w:ascii="宋体" w:hAnsi="宋体" w:cs="宋体"/>
          <w:color w:val="auto"/>
          <w:sz w:val="24"/>
          <w:szCs w:val="24"/>
        </w:rPr>
        <w:t>我方接受招标文件中的货款支付条件。</w:t>
      </w:r>
    </w:p>
    <w:p>
      <w:pPr>
        <w:spacing w:line="440" w:lineRule="exact"/>
        <w:ind w:firstLine="464"/>
        <w:rPr>
          <w:rFonts w:ascii="宋体"/>
          <w:color w:val="auto"/>
          <w:sz w:val="24"/>
          <w:szCs w:val="24"/>
        </w:rPr>
      </w:pPr>
      <w:r>
        <w:rPr>
          <w:rFonts w:ascii="宋体" w:hAnsi="宋体" w:cs="宋体"/>
          <w:color w:val="auto"/>
          <w:spacing w:val="-4"/>
          <w:sz w:val="24"/>
          <w:szCs w:val="24"/>
        </w:rPr>
        <w:t>6</w:t>
      </w:r>
      <w:r>
        <w:rPr>
          <w:rFonts w:ascii="宋体" w:cs="宋体"/>
          <w:color w:val="auto"/>
          <w:spacing w:val="-4"/>
          <w:sz w:val="24"/>
          <w:szCs w:val="24"/>
        </w:rPr>
        <w:t>.</w:t>
      </w:r>
      <w:r>
        <w:rPr>
          <w:rFonts w:hint="eastAsia" w:ascii="宋体" w:hAnsi="宋体" w:cs="宋体"/>
          <w:color w:val="auto"/>
          <w:sz w:val="24"/>
          <w:szCs w:val="24"/>
        </w:rPr>
        <w:t>如果我方在招标文件规定的截止时间后撤回投标文件，或在接到中标通知书后</w:t>
      </w:r>
      <w:r>
        <w:rPr>
          <w:rFonts w:ascii="宋体" w:hAnsi="宋体" w:cs="宋体"/>
          <w:color w:val="auto"/>
          <w:sz w:val="24"/>
          <w:szCs w:val="24"/>
        </w:rPr>
        <w:t>30</w:t>
      </w:r>
      <w:r>
        <w:rPr>
          <w:rFonts w:hint="eastAsia" w:ascii="宋体" w:hAnsi="宋体" w:cs="宋体"/>
          <w:color w:val="auto"/>
          <w:sz w:val="24"/>
          <w:szCs w:val="24"/>
        </w:rPr>
        <w:t>天内未能或拒绝签订合同协议书，我单位自愿接受被列为不良行为记录。</w:t>
      </w:r>
    </w:p>
    <w:p>
      <w:pPr>
        <w:spacing w:line="440" w:lineRule="exact"/>
        <w:ind w:firstLine="480"/>
        <w:rPr>
          <w:rFonts w:ascii="宋体"/>
          <w:color w:val="auto"/>
          <w:sz w:val="24"/>
          <w:szCs w:val="24"/>
        </w:rPr>
      </w:pPr>
      <w:r>
        <w:rPr>
          <w:rFonts w:ascii="宋体" w:hAnsi="宋体" w:cs="宋体"/>
          <w:color w:val="auto"/>
          <w:sz w:val="24"/>
          <w:szCs w:val="24"/>
        </w:rPr>
        <w:t>7</w:t>
      </w:r>
      <w:r>
        <w:rPr>
          <w:rFonts w:ascii="宋体" w:cs="宋体"/>
          <w:color w:val="auto"/>
          <w:sz w:val="24"/>
          <w:szCs w:val="24"/>
        </w:rPr>
        <w:t>.</w:t>
      </w:r>
      <w:r>
        <w:rPr>
          <w:rFonts w:hint="eastAsia" w:ascii="宋体" w:hAnsi="宋体" w:cs="宋体"/>
          <w:color w:val="auto"/>
          <w:sz w:val="24"/>
          <w:szCs w:val="24"/>
        </w:rPr>
        <w:t>如我方中标，我方承诺在签订合同前向采购人交纳招标文件规定的履约保证金。</w:t>
      </w:r>
    </w:p>
    <w:p>
      <w:pPr>
        <w:spacing w:line="440" w:lineRule="exact"/>
        <w:ind w:firstLine="480"/>
        <w:rPr>
          <w:rFonts w:ascii="宋体"/>
          <w:color w:val="auto"/>
          <w:sz w:val="24"/>
          <w:szCs w:val="24"/>
        </w:rPr>
      </w:pPr>
      <w:r>
        <w:rPr>
          <w:rFonts w:ascii="宋体" w:hAnsi="宋体" w:cs="宋体"/>
          <w:color w:val="auto"/>
          <w:sz w:val="24"/>
          <w:szCs w:val="24"/>
        </w:rPr>
        <w:t>8</w:t>
      </w:r>
      <w:r>
        <w:rPr>
          <w:rFonts w:ascii="宋体" w:cs="宋体"/>
          <w:color w:val="auto"/>
          <w:sz w:val="24"/>
          <w:szCs w:val="24"/>
        </w:rPr>
        <w:t>.</w:t>
      </w:r>
      <w:r>
        <w:rPr>
          <w:rFonts w:hint="eastAsia" w:ascii="宋体" w:hAnsi="宋体" w:cs="宋体"/>
          <w:color w:val="auto"/>
          <w:sz w:val="24"/>
          <w:szCs w:val="24"/>
        </w:rPr>
        <w:t>我方投标文件提供的所有资料真实、有效，如有不实，我方无条件接受采购人和主管部门依据法律法规做出的处理决定，并承担由此产生的责任。</w:t>
      </w:r>
    </w:p>
    <w:p>
      <w:pPr>
        <w:spacing w:line="440" w:lineRule="exact"/>
        <w:ind w:firstLine="480"/>
        <w:rPr>
          <w:rFonts w:ascii="宋体"/>
          <w:color w:val="auto"/>
          <w:sz w:val="24"/>
          <w:szCs w:val="24"/>
        </w:rPr>
      </w:pPr>
      <w:r>
        <w:rPr>
          <w:rFonts w:ascii="宋体" w:hAnsi="宋体" w:cs="宋体"/>
          <w:color w:val="auto"/>
          <w:sz w:val="24"/>
          <w:szCs w:val="24"/>
        </w:rPr>
        <w:t>9</w:t>
      </w:r>
      <w:r>
        <w:rPr>
          <w:rFonts w:ascii="宋体" w:cs="宋体"/>
          <w:color w:val="auto"/>
          <w:sz w:val="24"/>
          <w:szCs w:val="24"/>
        </w:rPr>
        <w:t>.</w:t>
      </w:r>
      <w:r>
        <w:rPr>
          <w:rFonts w:hint="eastAsia" w:ascii="宋体" w:hAnsi="宋体" w:cs="宋体"/>
          <w:color w:val="auto"/>
          <w:sz w:val="24"/>
          <w:szCs w:val="24"/>
        </w:rPr>
        <w:t>你方的中标通知书和招标文件将成为约束双方合同文件的组成部分。</w:t>
      </w:r>
    </w:p>
    <w:p>
      <w:pPr>
        <w:spacing w:line="440" w:lineRule="exact"/>
        <w:rPr>
          <w:rFonts w:ascii="宋体"/>
          <w:color w:val="auto"/>
          <w:sz w:val="24"/>
          <w:szCs w:val="24"/>
        </w:rPr>
      </w:pPr>
    </w:p>
    <w:p>
      <w:pPr>
        <w:spacing w:line="440" w:lineRule="exact"/>
        <w:ind w:firstLine="480"/>
        <w:rPr>
          <w:rFonts w:ascii="宋体"/>
          <w:color w:val="auto"/>
          <w:sz w:val="24"/>
          <w:szCs w:val="24"/>
        </w:rPr>
      </w:pPr>
      <w:r>
        <w:rPr>
          <w:rFonts w:hint="eastAsia" w:ascii="宋体" w:hAnsi="宋体" w:cs="宋体"/>
          <w:color w:val="auto"/>
          <w:sz w:val="24"/>
          <w:szCs w:val="24"/>
        </w:rPr>
        <w:t>投标人：</w:t>
      </w:r>
      <w:r>
        <w:rPr>
          <w:rFonts w:ascii="宋体" w:hAnsi="宋体" w:cs="宋体"/>
          <w:color w:val="auto"/>
          <w:sz w:val="24"/>
          <w:szCs w:val="24"/>
        </w:rPr>
        <w:t>(</w:t>
      </w:r>
      <w:r>
        <w:rPr>
          <w:rFonts w:hint="eastAsia" w:ascii="宋体" w:hAnsi="宋体" w:cs="宋体"/>
          <w:color w:val="auto"/>
          <w:sz w:val="24"/>
          <w:szCs w:val="24"/>
        </w:rPr>
        <w:t>盖章</w:t>
      </w:r>
      <w:r>
        <w:rPr>
          <w:rFonts w:ascii="宋体" w:hAnsi="宋体" w:cs="宋体"/>
          <w:color w:val="auto"/>
          <w:sz w:val="24"/>
          <w:szCs w:val="24"/>
        </w:rPr>
        <w:t>)</w:t>
      </w:r>
    </w:p>
    <w:p>
      <w:pPr>
        <w:spacing w:line="440" w:lineRule="exact"/>
        <w:ind w:firstLine="480"/>
        <w:rPr>
          <w:rFonts w:ascii="宋体"/>
          <w:color w:val="auto"/>
          <w:sz w:val="24"/>
          <w:szCs w:val="24"/>
        </w:rPr>
      </w:pPr>
      <w:r>
        <w:rPr>
          <w:rFonts w:hint="eastAsia" w:ascii="宋体" w:hAnsi="宋体" w:cs="宋体"/>
          <w:color w:val="auto"/>
          <w:sz w:val="24"/>
          <w:szCs w:val="24"/>
        </w:rPr>
        <w:t>法定代表人或委托代理人：</w:t>
      </w:r>
      <w:r>
        <w:rPr>
          <w:rFonts w:ascii="宋体" w:hAnsi="宋体" w:cs="宋体"/>
          <w:color w:val="auto"/>
          <w:sz w:val="24"/>
          <w:szCs w:val="24"/>
        </w:rPr>
        <w:t>(</w:t>
      </w:r>
      <w:r>
        <w:rPr>
          <w:rFonts w:hint="eastAsia" w:ascii="宋体" w:hAnsi="宋体" w:cs="宋体"/>
          <w:color w:val="auto"/>
          <w:sz w:val="24"/>
          <w:szCs w:val="24"/>
        </w:rPr>
        <w:t>盖章或签字</w:t>
      </w:r>
      <w:r>
        <w:rPr>
          <w:rFonts w:ascii="宋体" w:hAnsi="宋体" w:cs="宋体"/>
          <w:color w:val="auto"/>
          <w:sz w:val="24"/>
          <w:szCs w:val="24"/>
        </w:rPr>
        <w:t xml:space="preserve">)                                       </w:t>
      </w:r>
    </w:p>
    <w:p>
      <w:pPr>
        <w:spacing w:line="440" w:lineRule="exact"/>
        <w:ind w:firstLine="480"/>
        <w:rPr>
          <w:rFonts w:ascii="宋体"/>
          <w:color w:val="auto"/>
          <w:sz w:val="24"/>
          <w:szCs w:val="24"/>
        </w:rPr>
      </w:pPr>
    </w:p>
    <w:p>
      <w:pPr>
        <w:spacing w:line="440" w:lineRule="exact"/>
        <w:ind w:firstLine="480"/>
        <w:rPr>
          <w:rFonts w:ascii="宋体"/>
          <w:color w:val="auto"/>
          <w:sz w:val="24"/>
          <w:szCs w:val="24"/>
        </w:rPr>
      </w:pPr>
      <w:r>
        <w:rPr>
          <w:rFonts w:hint="eastAsia" w:ascii="宋体" w:hAnsi="宋体" w:cs="宋体"/>
          <w:color w:val="auto"/>
          <w:sz w:val="24"/>
          <w:szCs w:val="24"/>
        </w:rPr>
        <w:t>日期：年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pStyle w:val="116"/>
        <w:ind w:firstLine="0"/>
        <w:rPr>
          <w:rFonts w:ascii="宋体" w:cs="Calibri"/>
          <w:color w:val="auto"/>
        </w:rPr>
      </w:pPr>
    </w:p>
    <w:p>
      <w:pPr>
        <w:pStyle w:val="116"/>
        <w:ind w:firstLine="0"/>
        <w:rPr>
          <w:rFonts w:ascii="宋体" w:cs="Calibri"/>
          <w:color w:val="auto"/>
        </w:rPr>
      </w:pPr>
    </w:p>
    <w:p>
      <w:pPr>
        <w:pStyle w:val="116"/>
        <w:ind w:firstLine="0"/>
        <w:rPr>
          <w:rFonts w:ascii="宋体" w:cs="Calibri"/>
          <w:color w:val="auto"/>
        </w:rPr>
      </w:pPr>
    </w:p>
    <w:p>
      <w:pPr>
        <w:pStyle w:val="116"/>
        <w:ind w:firstLine="0"/>
        <w:rPr>
          <w:rFonts w:ascii="宋体" w:cs="Calibri"/>
          <w:color w:val="auto"/>
        </w:rPr>
      </w:pPr>
    </w:p>
    <w:p>
      <w:pPr>
        <w:spacing w:before="120" w:after="120" w:line="460" w:lineRule="exact"/>
        <w:ind w:firstLine="643"/>
        <w:jc w:val="center"/>
        <w:outlineLvl w:val="0"/>
        <w:rPr>
          <w:rFonts w:ascii="宋体"/>
          <w:b/>
          <w:bCs/>
          <w:color w:val="auto"/>
          <w:sz w:val="32"/>
          <w:szCs w:val="32"/>
        </w:rPr>
      </w:pPr>
      <w:bookmarkStart w:id="32" w:name="_Toc130206655"/>
      <w:r>
        <w:rPr>
          <w:rFonts w:hint="eastAsia" w:ascii="宋体" w:hAnsi="宋体" w:cs="宋体"/>
          <w:b/>
          <w:bCs/>
          <w:color w:val="auto"/>
          <w:sz w:val="32"/>
          <w:szCs w:val="32"/>
        </w:rPr>
        <w:t>（三）无重大违法记录声明函</w:t>
      </w:r>
      <w:bookmarkEnd w:id="31"/>
      <w:bookmarkEnd w:id="32"/>
    </w:p>
    <w:p>
      <w:pPr>
        <w:spacing w:before="120" w:after="120" w:line="240" w:lineRule="exact"/>
        <w:ind w:firstLine="643"/>
        <w:jc w:val="center"/>
        <w:outlineLvl w:val="0"/>
        <w:rPr>
          <w:rFonts w:ascii="宋体"/>
          <w:b/>
          <w:bCs/>
          <w:color w:val="auto"/>
          <w:sz w:val="32"/>
          <w:szCs w:val="32"/>
        </w:rPr>
      </w:pPr>
    </w:p>
    <w:p>
      <w:pPr>
        <w:pStyle w:val="25"/>
        <w:spacing w:line="600" w:lineRule="exact"/>
        <w:ind w:firstLine="482"/>
        <w:rPr>
          <w:rFonts w:hAnsi="宋体" w:cs="Calibri"/>
          <w:color w:val="auto"/>
          <w:sz w:val="24"/>
          <w:szCs w:val="24"/>
        </w:rPr>
      </w:pPr>
      <w:r>
        <w:rPr>
          <w:rFonts w:hint="eastAsia" w:hAnsi="宋体"/>
          <w:b/>
          <w:bCs/>
          <w:color w:val="auto"/>
          <w:sz w:val="24"/>
          <w:szCs w:val="24"/>
        </w:rPr>
        <w:t>采购人：</w:t>
      </w:r>
      <w:r>
        <w:rPr>
          <w:rFonts w:hint="eastAsia" w:hAnsi="宋体"/>
          <w:b/>
          <w:bCs/>
          <w:color w:val="auto"/>
          <w:sz w:val="24"/>
          <w:szCs w:val="24"/>
          <w:u w:val="single"/>
        </w:rPr>
        <w:t>建湖县教育局</w:t>
      </w:r>
    </w:p>
    <w:p>
      <w:pPr>
        <w:spacing w:line="600" w:lineRule="exact"/>
        <w:rPr>
          <w:rFonts w:ascii="宋体"/>
          <w:color w:val="auto"/>
          <w:sz w:val="24"/>
          <w:szCs w:val="24"/>
        </w:rPr>
      </w:pPr>
      <w:r>
        <w:rPr>
          <w:rFonts w:hint="eastAsia" w:ascii="宋体" w:hAnsi="宋体" w:cs="宋体"/>
          <w:color w:val="auto"/>
          <w:sz w:val="24"/>
          <w:szCs w:val="24"/>
        </w:rPr>
        <w:t>我公司自愿参与贵单位组织实施的</w:t>
      </w:r>
      <w:r>
        <w:rPr>
          <w:rFonts w:hint="eastAsia" w:ascii="宋体" w:hAnsi="宋体" w:cs="宋体"/>
          <w:b/>
          <w:bCs/>
          <w:color w:val="auto"/>
          <w:sz w:val="24"/>
          <w:szCs w:val="24"/>
          <w:u w:val="single"/>
        </w:rPr>
        <w:t>建湖县中高考相关考点广播独立双系统升级改造项目</w:t>
      </w:r>
      <w:r>
        <w:rPr>
          <w:rFonts w:hint="eastAsia" w:ascii="宋体" w:hAnsi="宋体" w:cs="宋体"/>
          <w:color w:val="auto"/>
          <w:sz w:val="24"/>
          <w:szCs w:val="24"/>
        </w:rPr>
        <w:t>的投标。我单位参加本次政府采购活动前三年内，在经营活动中</w:t>
      </w:r>
      <w:r>
        <w:rPr>
          <w:rFonts w:hint="eastAsia" w:ascii="宋体" w:hAnsi="宋体" w:cs="宋体"/>
          <w:color w:val="auto"/>
          <w:sz w:val="24"/>
          <w:szCs w:val="24"/>
          <w:u w:val="single"/>
        </w:rPr>
        <w:t>没有</w:t>
      </w:r>
      <w:r>
        <w:rPr>
          <w:rFonts w:hint="eastAsia" w:ascii="宋体" w:hAnsi="宋体" w:cs="宋体"/>
          <w:color w:val="auto"/>
          <w:sz w:val="24"/>
          <w:szCs w:val="24"/>
        </w:rPr>
        <w:t>重大违法记录（重大违法记录是指因违法经营受到刑事处罚或者责令停产停业、吊销许可证或者执照、较大数额罚款等行政处罚）。若与真实情况不符，本公司愿意承担由此而产生的一切后果。</w:t>
      </w:r>
    </w:p>
    <w:p>
      <w:pPr>
        <w:spacing w:line="600" w:lineRule="exact"/>
        <w:ind w:firstLine="480"/>
        <w:rPr>
          <w:rFonts w:ascii="宋体"/>
          <w:color w:val="auto"/>
          <w:sz w:val="24"/>
          <w:szCs w:val="24"/>
        </w:rPr>
      </w:pPr>
    </w:p>
    <w:p>
      <w:pPr>
        <w:spacing w:line="600" w:lineRule="exact"/>
        <w:ind w:firstLine="480"/>
        <w:rPr>
          <w:rFonts w:ascii="宋体"/>
          <w:color w:val="auto"/>
          <w:sz w:val="24"/>
          <w:szCs w:val="24"/>
        </w:rPr>
      </w:pPr>
      <w:r>
        <w:rPr>
          <w:rFonts w:hint="eastAsia" w:ascii="宋体" w:hAnsi="宋体" w:cs="宋体"/>
          <w:color w:val="auto"/>
          <w:sz w:val="24"/>
          <w:szCs w:val="24"/>
        </w:rPr>
        <w:t>特此声明！</w:t>
      </w:r>
    </w:p>
    <w:p>
      <w:pPr>
        <w:spacing w:line="600" w:lineRule="exact"/>
        <w:ind w:firstLine="482"/>
        <w:rPr>
          <w:rFonts w:ascii="宋体"/>
          <w:b/>
          <w:bCs/>
          <w:color w:val="auto"/>
          <w:sz w:val="24"/>
          <w:szCs w:val="24"/>
        </w:rPr>
      </w:pPr>
    </w:p>
    <w:p>
      <w:pPr>
        <w:pStyle w:val="25"/>
        <w:spacing w:line="480" w:lineRule="exact"/>
        <w:ind w:firstLine="480"/>
        <w:rPr>
          <w:rFonts w:hAnsi="宋体"/>
          <w:color w:val="auto"/>
          <w:sz w:val="24"/>
          <w:szCs w:val="24"/>
        </w:rPr>
      </w:pPr>
      <w:r>
        <w:rPr>
          <w:rFonts w:hint="eastAsia" w:hAnsi="宋体"/>
          <w:color w:val="auto"/>
          <w:sz w:val="24"/>
          <w:szCs w:val="24"/>
        </w:rPr>
        <w:t>投标单位：</w:t>
      </w:r>
      <w:r>
        <w:rPr>
          <w:rFonts w:hAnsi="宋体"/>
          <w:color w:val="auto"/>
          <w:sz w:val="24"/>
          <w:szCs w:val="24"/>
        </w:rPr>
        <w:t>(</w:t>
      </w:r>
      <w:r>
        <w:rPr>
          <w:rFonts w:hint="eastAsia" w:hAnsi="宋体"/>
          <w:color w:val="auto"/>
          <w:sz w:val="24"/>
          <w:szCs w:val="24"/>
        </w:rPr>
        <w:t>盖章</w:t>
      </w:r>
      <w:r>
        <w:rPr>
          <w:rFonts w:hAnsi="宋体"/>
          <w:color w:val="auto"/>
          <w:sz w:val="24"/>
          <w:szCs w:val="24"/>
        </w:rPr>
        <w:t>)</w:t>
      </w:r>
    </w:p>
    <w:p>
      <w:pPr>
        <w:pStyle w:val="25"/>
        <w:spacing w:line="480" w:lineRule="exact"/>
        <w:ind w:firstLine="480"/>
        <w:rPr>
          <w:rFonts w:hAnsi="宋体"/>
          <w:color w:val="auto"/>
          <w:sz w:val="24"/>
          <w:szCs w:val="24"/>
        </w:rPr>
      </w:pPr>
    </w:p>
    <w:p>
      <w:pPr>
        <w:pStyle w:val="25"/>
        <w:spacing w:line="480" w:lineRule="exact"/>
        <w:ind w:firstLine="480"/>
        <w:rPr>
          <w:rFonts w:hAnsi="宋体"/>
          <w:color w:val="auto"/>
          <w:sz w:val="24"/>
          <w:szCs w:val="24"/>
        </w:rPr>
      </w:pPr>
      <w:r>
        <w:rPr>
          <w:rFonts w:hint="eastAsia" w:hAnsi="宋体"/>
          <w:color w:val="auto"/>
          <w:sz w:val="24"/>
          <w:szCs w:val="24"/>
        </w:rPr>
        <w:t>法定代表人或委托代理人：</w:t>
      </w:r>
      <w:r>
        <w:rPr>
          <w:rFonts w:hAnsi="宋体"/>
          <w:color w:val="auto"/>
          <w:sz w:val="24"/>
          <w:szCs w:val="24"/>
        </w:rPr>
        <w:t>(</w:t>
      </w:r>
      <w:r>
        <w:rPr>
          <w:rFonts w:hint="eastAsia" w:hAnsi="宋体"/>
          <w:color w:val="auto"/>
          <w:sz w:val="24"/>
          <w:szCs w:val="24"/>
        </w:rPr>
        <w:t>盖章或签字</w:t>
      </w:r>
      <w:r>
        <w:rPr>
          <w:rFonts w:hAnsi="宋体"/>
          <w:color w:val="auto"/>
          <w:sz w:val="24"/>
          <w:szCs w:val="24"/>
        </w:rPr>
        <w:t>)</w:t>
      </w:r>
    </w:p>
    <w:p>
      <w:pPr>
        <w:pStyle w:val="25"/>
        <w:spacing w:line="480" w:lineRule="exact"/>
        <w:ind w:left="5250" w:firstLine="480"/>
        <w:rPr>
          <w:rFonts w:hAnsi="宋体" w:cs="Calibri"/>
          <w:color w:val="auto"/>
        </w:rPr>
      </w:pPr>
    </w:p>
    <w:p>
      <w:pPr>
        <w:pStyle w:val="25"/>
        <w:spacing w:line="480" w:lineRule="exact"/>
        <w:ind w:left="5250" w:firstLine="480"/>
        <w:rPr>
          <w:rFonts w:hAnsi="宋体" w:cs="Calibri"/>
          <w:color w:val="auto"/>
        </w:rPr>
      </w:pPr>
    </w:p>
    <w:p>
      <w:pPr>
        <w:jc w:val="right"/>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spacing w:line="360" w:lineRule="auto"/>
        <w:ind w:left="1446" w:firstLine="723"/>
        <w:jc w:val="center"/>
        <w:rPr>
          <w:rFonts w:ascii="宋体"/>
          <w:b/>
          <w:bCs/>
          <w:color w:val="auto"/>
          <w:sz w:val="36"/>
          <w:szCs w:val="36"/>
        </w:rPr>
      </w:pPr>
    </w:p>
    <w:p>
      <w:pPr>
        <w:spacing w:line="360" w:lineRule="auto"/>
        <w:ind w:left="1446" w:firstLine="723"/>
        <w:jc w:val="center"/>
        <w:rPr>
          <w:rFonts w:ascii="宋体"/>
          <w:b/>
          <w:bCs/>
          <w:color w:val="auto"/>
          <w:sz w:val="36"/>
          <w:szCs w:val="36"/>
        </w:rPr>
      </w:pPr>
    </w:p>
    <w:p>
      <w:pPr>
        <w:spacing w:line="360" w:lineRule="auto"/>
        <w:ind w:left="1446" w:firstLine="723"/>
        <w:jc w:val="center"/>
        <w:rPr>
          <w:rFonts w:ascii="宋体"/>
          <w:b/>
          <w:bCs/>
          <w:color w:val="auto"/>
          <w:sz w:val="36"/>
          <w:szCs w:val="36"/>
        </w:rPr>
      </w:pPr>
    </w:p>
    <w:p>
      <w:pPr>
        <w:spacing w:line="360" w:lineRule="auto"/>
        <w:ind w:left="1446" w:firstLine="723"/>
        <w:jc w:val="center"/>
        <w:rPr>
          <w:rFonts w:ascii="宋体"/>
          <w:b/>
          <w:bCs/>
          <w:color w:val="auto"/>
          <w:sz w:val="36"/>
          <w:szCs w:val="36"/>
        </w:rPr>
      </w:pPr>
    </w:p>
    <w:p>
      <w:pPr>
        <w:spacing w:line="360" w:lineRule="auto"/>
        <w:ind w:left="1446" w:firstLine="723"/>
        <w:jc w:val="center"/>
        <w:rPr>
          <w:rFonts w:ascii="宋体"/>
          <w:b/>
          <w:bCs/>
          <w:color w:val="auto"/>
          <w:sz w:val="36"/>
          <w:szCs w:val="36"/>
        </w:rPr>
      </w:pPr>
    </w:p>
    <w:p>
      <w:pPr>
        <w:spacing w:line="360" w:lineRule="auto"/>
        <w:ind w:left="1446" w:firstLine="723"/>
        <w:jc w:val="center"/>
        <w:rPr>
          <w:rFonts w:ascii="宋体"/>
          <w:b/>
          <w:bCs/>
          <w:color w:val="auto"/>
          <w:sz w:val="36"/>
          <w:szCs w:val="36"/>
        </w:rPr>
      </w:pPr>
    </w:p>
    <w:p>
      <w:pPr>
        <w:pStyle w:val="2"/>
      </w:pPr>
    </w:p>
    <w:p>
      <w:pPr>
        <w:pStyle w:val="41"/>
        <w:ind w:firstLine="600"/>
        <w:rPr>
          <w:rFonts w:ascii="宋体" w:hAnsi="宋体" w:eastAsia="宋体" w:cs="Calibri"/>
          <w:color w:val="auto"/>
        </w:rPr>
      </w:pPr>
    </w:p>
    <w:p>
      <w:pPr>
        <w:spacing w:before="120" w:after="120" w:line="460" w:lineRule="exact"/>
        <w:ind w:firstLine="643"/>
        <w:jc w:val="center"/>
        <w:outlineLvl w:val="0"/>
        <w:rPr>
          <w:rFonts w:ascii="宋体"/>
          <w:b/>
          <w:bCs/>
          <w:color w:val="auto"/>
          <w:sz w:val="32"/>
          <w:szCs w:val="32"/>
        </w:rPr>
      </w:pPr>
      <w:bookmarkStart w:id="33" w:name="_Toc120519621"/>
      <w:bookmarkStart w:id="34" w:name="_Toc130206656"/>
      <w:r>
        <w:rPr>
          <w:rFonts w:hint="eastAsia" w:ascii="宋体" w:hAnsi="宋体" w:cs="宋体"/>
          <w:b/>
          <w:bCs/>
          <w:color w:val="auto"/>
          <w:sz w:val="32"/>
          <w:szCs w:val="32"/>
        </w:rPr>
        <w:t>（四）供应商登记表</w:t>
      </w:r>
      <w:bookmarkEnd w:id="33"/>
      <w:bookmarkEnd w:id="34"/>
    </w:p>
    <w:p>
      <w:pPr>
        <w:spacing w:line="360" w:lineRule="auto"/>
        <w:ind w:left="1447" w:firstLine="5760"/>
        <w:rPr>
          <w:rFonts w:ascii="宋体"/>
          <w:b/>
          <w:bCs/>
          <w:color w:val="auto"/>
          <w:sz w:val="36"/>
          <w:szCs w:val="36"/>
        </w:rPr>
      </w:pPr>
      <w:r>
        <w:rPr>
          <w:rFonts w:hint="eastAsia" w:ascii="宋体" w:hAnsi="宋体" w:cs="宋体"/>
          <w:color w:val="auto"/>
          <w:sz w:val="24"/>
          <w:szCs w:val="24"/>
        </w:rPr>
        <w:t>年</w:t>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日</w:t>
      </w:r>
    </w:p>
    <w:tbl>
      <w:tblPr>
        <w:tblStyle w:val="43"/>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1185"/>
        <w:gridCol w:w="1395"/>
        <w:gridCol w:w="1905"/>
        <w:gridCol w:w="1305"/>
        <w:gridCol w:w="2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企业名称</w:t>
            </w:r>
          </w:p>
        </w:tc>
        <w:tc>
          <w:tcPr>
            <w:tcW w:w="7799" w:type="dxa"/>
            <w:gridSpan w:val="5"/>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详细地址</w:t>
            </w:r>
          </w:p>
        </w:tc>
        <w:tc>
          <w:tcPr>
            <w:tcW w:w="4485" w:type="dxa"/>
            <w:gridSpan w:val="3"/>
            <w:noWrap w:val="0"/>
            <w:vAlign w:val="center"/>
          </w:tcPr>
          <w:p>
            <w:pPr>
              <w:widowControl/>
              <w:spacing w:line="480" w:lineRule="exact"/>
              <w:jc w:val="center"/>
              <w:rPr>
                <w:rFonts w:ascii="宋体"/>
                <w:color w:val="auto"/>
                <w:sz w:val="24"/>
                <w:szCs w:val="24"/>
              </w:rPr>
            </w:pPr>
          </w:p>
        </w:tc>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邮</w:t>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编</w:t>
            </w:r>
          </w:p>
        </w:tc>
        <w:tc>
          <w:tcPr>
            <w:tcW w:w="2009" w:type="dxa"/>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法人代表</w:t>
            </w:r>
          </w:p>
        </w:tc>
        <w:tc>
          <w:tcPr>
            <w:tcW w:w="1185" w:type="dxa"/>
            <w:noWrap w:val="0"/>
            <w:vAlign w:val="center"/>
          </w:tcPr>
          <w:p>
            <w:pPr>
              <w:widowControl/>
              <w:spacing w:line="480" w:lineRule="exact"/>
              <w:jc w:val="center"/>
              <w:rPr>
                <w:rFonts w:ascii="宋体"/>
                <w:color w:val="auto"/>
                <w:sz w:val="24"/>
                <w:szCs w:val="24"/>
              </w:rPr>
            </w:pPr>
          </w:p>
        </w:tc>
        <w:tc>
          <w:tcPr>
            <w:tcW w:w="139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企业性质</w:t>
            </w:r>
          </w:p>
        </w:tc>
        <w:tc>
          <w:tcPr>
            <w:tcW w:w="1905" w:type="dxa"/>
            <w:noWrap w:val="0"/>
            <w:vAlign w:val="center"/>
          </w:tcPr>
          <w:p>
            <w:pPr>
              <w:widowControl/>
              <w:spacing w:line="480" w:lineRule="exact"/>
              <w:jc w:val="center"/>
              <w:rPr>
                <w:rFonts w:ascii="宋体"/>
                <w:color w:val="auto"/>
                <w:sz w:val="24"/>
                <w:szCs w:val="24"/>
              </w:rPr>
            </w:pPr>
          </w:p>
        </w:tc>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注册资金</w:t>
            </w:r>
          </w:p>
        </w:tc>
        <w:tc>
          <w:tcPr>
            <w:tcW w:w="2009" w:type="dxa"/>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联系人</w:t>
            </w:r>
          </w:p>
        </w:tc>
        <w:tc>
          <w:tcPr>
            <w:tcW w:w="1185" w:type="dxa"/>
            <w:noWrap w:val="0"/>
            <w:vAlign w:val="center"/>
          </w:tcPr>
          <w:p>
            <w:pPr>
              <w:widowControl/>
              <w:spacing w:line="480" w:lineRule="exact"/>
              <w:jc w:val="center"/>
              <w:rPr>
                <w:rFonts w:ascii="宋体"/>
                <w:color w:val="auto"/>
                <w:sz w:val="24"/>
                <w:szCs w:val="24"/>
              </w:rPr>
            </w:pPr>
          </w:p>
        </w:tc>
        <w:tc>
          <w:tcPr>
            <w:tcW w:w="139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职</w:t>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务</w:t>
            </w:r>
          </w:p>
        </w:tc>
        <w:tc>
          <w:tcPr>
            <w:tcW w:w="1905" w:type="dxa"/>
            <w:noWrap w:val="0"/>
            <w:vAlign w:val="center"/>
          </w:tcPr>
          <w:p>
            <w:pPr>
              <w:widowControl/>
              <w:spacing w:line="480" w:lineRule="exact"/>
              <w:jc w:val="center"/>
              <w:rPr>
                <w:rFonts w:ascii="宋体"/>
                <w:color w:val="auto"/>
                <w:sz w:val="24"/>
                <w:szCs w:val="24"/>
              </w:rPr>
            </w:pPr>
          </w:p>
        </w:tc>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所在部门</w:t>
            </w:r>
          </w:p>
        </w:tc>
        <w:tc>
          <w:tcPr>
            <w:tcW w:w="2009" w:type="dxa"/>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营业面积</w:t>
            </w:r>
          </w:p>
        </w:tc>
        <w:tc>
          <w:tcPr>
            <w:tcW w:w="1185" w:type="dxa"/>
            <w:noWrap w:val="0"/>
            <w:vAlign w:val="center"/>
          </w:tcPr>
          <w:p>
            <w:pPr>
              <w:widowControl/>
              <w:spacing w:line="480" w:lineRule="exact"/>
              <w:jc w:val="center"/>
              <w:rPr>
                <w:rFonts w:ascii="宋体"/>
                <w:color w:val="auto"/>
                <w:sz w:val="24"/>
                <w:szCs w:val="24"/>
              </w:rPr>
            </w:pPr>
          </w:p>
        </w:tc>
        <w:tc>
          <w:tcPr>
            <w:tcW w:w="139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在册员工</w:t>
            </w:r>
          </w:p>
        </w:tc>
        <w:tc>
          <w:tcPr>
            <w:tcW w:w="19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名</w:t>
            </w:r>
          </w:p>
        </w:tc>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技术人员</w:t>
            </w:r>
          </w:p>
        </w:tc>
        <w:tc>
          <w:tcPr>
            <w:tcW w:w="2009"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联系电话</w:t>
            </w:r>
          </w:p>
        </w:tc>
        <w:tc>
          <w:tcPr>
            <w:tcW w:w="2580" w:type="dxa"/>
            <w:gridSpan w:val="2"/>
            <w:noWrap w:val="0"/>
            <w:vAlign w:val="center"/>
          </w:tcPr>
          <w:p>
            <w:pPr>
              <w:widowControl/>
              <w:spacing w:line="480" w:lineRule="exact"/>
              <w:jc w:val="center"/>
              <w:rPr>
                <w:rFonts w:ascii="宋体"/>
                <w:color w:val="auto"/>
                <w:sz w:val="24"/>
                <w:szCs w:val="24"/>
              </w:rPr>
            </w:pPr>
          </w:p>
        </w:tc>
        <w:tc>
          <w:tcPr>
            <w:tcW w:w="19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传</w:t>
            </w:r>
            <w:r>
              <w:rPr>
                <w:rFonts w:ascii="宋体" w:hAnsi="宋体" w:cs="宋体"/>
                <w:color w:val="auto"/>
                <w:sz w:val="24"/>
                <w:szCs w:val="24"/>
              </w:rPr>
              <w:t xml:space="preserve">  </w:t>
            </w:r>
            <w:r>
              <w:rPr>
                <w:rFonts w:hint="eastAsia" w:ascii="宋体" w:hAnsi="宋体" w:cs="宋体"/>
                <w:color w:val="auto"/>
                <w:sz w:val="24"/>
                <w:szCs w:val="24"/>
              </w:rPr>
              <w:t>真</w:t>
            </w:r>
          </w:p>
        </w:tc>
        <w:tc>
          <w:tcPr>
            <w:tcW w:w="3314" w:type="dxa"/>
            <w:gridSpan w:val="2"/>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手机号</w:t>
            </w:r>
          </w:p>
        </w:tc>
        <w:tc>
          <w:tcPr>
            <w:tcW w:w="2580" w:type="dxa"/>
            <w:gridSpan w:val="2"/>
            <w:noWrap w:val="0"/>
            <w:vAlign w:val="center"/>
          </w:tcPr>
          <w:p>
            <w:pPr>
              <w:widowControl/>
              <w:spacing w:line="480" w:lineRule="exact"/>
              <w:jc w:val="center"/>
              <w:rPr>
                <w:rFonts w:ascii="宋体"/>
                <w:color w:val="auto"/>
                <w:sz w:val="24"/>
                <w:szCs w:val="24"/>
              </w:rPr>
            </w:pPr>
          </w:p>
        </w:tc>
        <w:tc>
          <w:tcPr>
            <w:tcW w:w="19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网址</w:t>
            </w:r>
          </w:p>
        </w:tc>
        <w:tc>
          <w:tcPr>
            <w:tcW w:w="3314" w:type="dxa"/>
            <w:gridSpan w:val="2"/>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供应商品</w:t>
            </w:r>
          </w:p>
          <w:p>
            <w:pPr>
              <w:widowControl/>
              <w:spacing w:line="480" w:lineRule="exact"/>
              <w:jc w:val="center"/>
              <w:rPr>
                <w:rFonts w:ascii="宋体"/>
                <w:color w:val="auto"/>
                <w:sz w:val="24"/>
                <w:szCs w:val="24"/>
              </w:rPr>
            </w:pPr>
            <w:r>
              <w:rPr>
                <w:rFonts w:hint="eastAsia" w:ascii="宋体" w:hAnsi="宋体" w:cs="宋体"/>
                <w:color w:val="auto"/>
                <w:sz w:val="24"/>
                <w:szCs w:val="24"/>
              </w:rPr>
              <w:t>范</w:t>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围</w:t>
            </w:r>
          </w:p>
        </w:tc>
        <w:tc>
          <w:tcPr>
            <w:tcW w:w="7799" w:type="dxa"/>
            <w:gridSpan w:val="5"/>
            <w:noWrap w:val="0"/>
            <w:vAlign w:val="center"/>
          </w:tcPr>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4" w:hRule="atLeast"/>
          <w:jc w:val="center"/>
        </w:trPr>
        <w:tc>
          <w:tcPr>
            <w:tcW w:w="9104" w:type="dxa"/>
            <w:gridSpan w:val="6"/>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企业概况</w:t>
            </w: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3" w:hRule="atLeast"/>
          <w:jc w:val="center"/>
        </w:trPr>
        <w:tc>
          <w:tcPr>
            <w:tcW w:w="9104" w:type="dxa"/>
            <w:gridSpan w:val="6"/>
            <w:noWrap w:val="0"/>
            <w:vAlign w:val="center"/>
          </w:tcPr>
          <w:p>
            <w:pPr>
              <w:widowControl/>
              <w:spacing w:line="480" w:lineRule="exact"/>
              <w:jc w:val="center"/>
              <w:rPr>
                <w:rFonts w:ascii="宋体"/>
                <w:color w:val="auto"/>
                <w:sz w:val="24"/>
                <w:szCs w:val="24"/>
              </w:rPr>
            </w:pPr>
            <w:r>
              <w:rPr>
                <w:rFonts w:hint="eastAsia" w:ascii="宋体" w:hAnsi="宋体" w:cs="宋体"/>
                <w:color w:val="auto"/>
                <w:sz w:val="24"/>
                <w:szCs w:val="24"/>
              </w:rPr>
              <w:t>主要业绩</w:t>
            </w: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jc w:val="center"/>
              <w:rPr>
                <w:rFonts w:ascii="宋体"/>
                <w:color w:val="auto"/>
                <w:sz w:val="24"/>
                <w:szCs w:val="24"/>
              </w:rPr>
            </w:pPr>
          </w:p>
          <w:p>
            <w:pPr>
              <w:widowControl/>
              <w:spacing w:line="480" w:lineRule="exact"/>
              <w:rPr>
                <w:rFonts w:ascii="宋体"/>
                <w:color w:val="auto"/>
                <w:sz w:val="24"/>
                <w:szCs w:val="24"/>
              </w:rPr>
            </w:pPr>
          </w:p>
        </w:tc>
      </w:tr>
    </w:tbl>
    <w:p>
      <w:pPr>
        <w:pStyle w:val="42"/>
        <w:ind w:firstLine="723"/>
        <w:rPr>
          <w:rFonts w:ascii="宋体" w:cs="Calibri"/>
          <w:b/>
          <w:bCs/>
          <w:color w:val="auto"/>
          <w:sz w:val="36"/>
          <w:szCs w:val="36"/>
        </w:rPr>
      </w:pPr>
    </w:p>
    <w:p>
      <w:pPr>
        <w:pStyle w:val="42"/>
        <w:ind w:firstLine="723"/>
        <w:rPr>
          <w:rFonts w:ascii="宋体" w:cs="Calibri"/>
          <w:b/>
          <w:bCs/>
          <w:color w:val="auto"/>
          <w:sz w:val="36"/>
          <w:szCs w:val="36"/>
        </w:rPr>
      </w:pPr>
    </w:p>
    <w:p>
      <w:pPr>
        <w:spacing w:before="120" w:after="120" w:line="460" w:lineRule="exact"/>
        <w:ind w:firstLine="643"/>
        <w:jc w:val="center"/>
        <w:outlineLvl w:val="0"/>
        <w:rPr>
          <w:rFonts w:ascii="宋体"/>
          <w:b/>
          <w:bCs/>
          <w:color w:val="auto"/>
          <w:sz w:val="32"/>
          <w:szCs w:val="32"/>
        </w:rPr>
      </w:pPr>
      <w:bookmarkStart w:id="35" w:name="_Toc130206657"/>
      <w:bookmarkStart w:id="36" w:name="_Toc120519622"/>
      <w:r>
        <w:rPr>
          <w:rFonts w:hint="eastAsia" w:ascii="宋体" w:hAnsi="宋体" w:cs="宋体"/>
          <w:b/>
          <w:bCs/>
          <w:color w:val="auto"/>
          <w:sz w:val="32"/>
          <w:szCs w:val="32"/>
        </w:rPr>
        <w:t>（五）法定代表人身份证明书</w:t>
      </w:r>
      <w:bookmarkEnd w:id="35"/>
      <w:bookmarkEnd w:id="36"/>
    </w:p>
    <w:p>
      <w:pPr>
        <w:ind w:firstLine="640"/>
        <w:rPr>
          <w:rFonts w:ascii="宋体"/>
          <w:color w:val="auto"/>
          <w:sz w:val="32"/>
          <w:szCs w:val="32"/>
        </w:rPr>
      </w:pPr>
    </w:p>
    <w:p>
      <w:pPr>
        <w:ind w:firstLine="480"/>
        <w:rPr>
          <w:rFonts w:ascii="宋体"/>
          <w:color w:val="auto"/>
          <w:sz w:val="24"/>
          <w:szCs w:val="24"/>
          <w:u w:val="single"/>
        </w:rPr>
      </w:pPr>
      <w:r>
        <w:rPr>
          <w:rFonts w:hint="eastAsia" w:ascii="宋体" w:hAnsi="宋体" w:cs="宋体"/>
          <w:color w:val="auto"/>
          <w:sz w:val="24"/>
          <w:szCs w:val="24"/>
        </w:rPr>
        <w:t>单位名称：</w:t>
      </w:r>
    </w:p>
    <w:p>
      <w:pPr>
        <w:ind w:firstLine="480"/>
        <w:rPr>
          <w:rFonts w:ascii="宋体"/>
          <w:color w:val="auto"/>
          <w:sz w:val="24"/>
          <w:szCs w:val="24"/>
          <w:u w:val="single"/>
        </w:rPr>
      </w:pPr>
    </w:p>
    <w:p>
      <w:pPr>
        <w:ind w:firstLine="480"/>
        <w:rPr>
          <w:rFonts w:ascii="宋体"/>
          <w:color w:val="auto"/>
          <w:sz w:val="24"/>
          <w:szCs w:val="24"/>
          <w:u w:val="single"/>
        </w:rPr>
      </w:pPr>
    </w:p>
    <w:p>
      <w:pPr>
        <w:ind w:firstLine="480"/>
        <w:rPr>
          <w:rFonts w:ascii="宋体"/>
          <w:color w:val="auto"/>
          <w:sz w:val="24"/>
          <w:szCs w:val="24"/>
        </w:rPr>
      </w:pPr>
      <w:r>
        <w:rPr>
          <w:rFonts w:hint="eastAsia" w:ascii="宋体" w:hAnsi="宋体" w:cs="宋体"/>
          <w:color w:val="auto"/>
          <w:sz w:val="24"/>
          <w:szCs w:val="24"/>
        </w:rPr>
        <w:t>单位性质：</w:t>
      </w:r>
    </w:p>
    <w:p>
      <w:pPr>
        <w:ind w:firstLine="480"/>
        <w:rPr>
          <w:rFonts w:ascii="宋体"/>
          <w:color w:val="auto"/>
          <w:sz w:val="24"/>
          <w:szCs w:val="24"/>
        </w:rPr>
      </w:pPr>
    </w:p>
    <w:p>
      <w:pPr>
        <w:ind w:firstLine="480"/>
        <w:rPr>
          <w:rFonts w:ascii="宋体"/>
          <w:color w:val="auto"/>
          <w:sz w:val="24"/>
          <w:szCs w:val="24"/>
          <w:u w:val="single"/>
        </w:rPr>
      </w:pPr>
    </w:p>
    <w:p>
      <w:pPr>
        <w:ind w:firstLine="480"/>
        <w:rPr>
          <w:rFonts w:ascii="宋体"/>
          <w:color w:val="auto"/>
          <w:sz w:val="24"/>
          <w:szCs w:val="24"/>
          <w:u w:val="single"/>
        </w:rPr>
      </w:pPr>
      <w:r>
        <w:rPr>
          <w:rFonts w:hint="eastAsia" w:ascii="宋体" w:hAnsi="宋体" w:cs="宋体"/>
          <w:color w:val="auto"/>
          <w:sz w:val="24"/>
          <w:szCs w:val="24"/>
        </w:rPr>
        <w:t>地址：</w:t>
      </w:r>
    </w:p>
    <w:p>
      <w:pPr>
        <w:ind w:firstLine="480"/>
        <w:rPr>
          <w:rFonts w:ascii="宋体"/>
          <w:color w:val="auto"/>
          <w:sz w:val="24"/>
          <w:szCs w:val="24"/>
          <w:u w:val="single"/>
        </w:rPr>
      </w:pPr>
    </w:p>
    <w:p>
      <w:pPr>
        <w:ind w:firstLine="480"/>
        <w:rPr>
          <w:rFonts w:ascii="宋体"/>
          <w:color w:val="auto"/>
          <w:sz w:val="24"/>
          <w:szCs w:val="24"/>
          <w:u w:val="single"/>
        </w:rPr>
      </w:pPr>
    </w:p>
    <w:p>
      <w:pPr>
        <w:ind w:firstLine="480"/>
        <w:rPr>
          <w:rFonts w:ascii="宋体"/>
          <w:color w:val="auto"/>
          <w:sz w:val="24"/>
          <w:szCs w:val="24"/>
        </w:rPr>
      </w:pPr>
      <w:r>
        <w:rPr>
          <w:rFonts w:hint="eastAsia" w:ascii="宋体" w:hAnsi="宋体" w:cs="宋体"/>
          <w:color w:val="auto"/>
          <w:sz w:val="24"/>
          <w:szCs w:val="24"/>
        </w:rPr>
        <w:t>成立时间：</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ind w:firstLine="480"/>
        <w:rPr>
          <w:rFonts w:ascii="宋体"/>
          <w:color w:val="auto"/>
          <w:sz w:val="24"/>
          <w:szCs w:val="24"/>
        </w:rPr>
      </w:pPr>
    </w:p>
    <w:p>
      <w:pPr>
        <w:ind w:firstLine="480"/>
        <w:rPr>
          <w:rFonts w:ascii="宋体"/>
          <w:color w:val="auto"/>
          <w:sz w:val="24"/>
          <w:szCs w:val="24"/>
        </w:rPr>
      </w:pPr>
    </w:p>
    <w:p>
      <w:pPr>
        <w:ind w:firstLine="480"/>
        <w:rPr>
          <w:rFonts w:ascii="宋体"/>
          <w:color w:val="auto"/>
          <w:sz w:val="24"/>
          <w:szCs w:val="24"/>
          <w:u w:val="single"/>
        </w:rPr>
      </w:pPr>
      <w:r>
        <w:rPr>
          <w:rFonts w:hint="eastAsia" w:ascii="宋体" w:hAnsi="宋体" w:cs="宋体"/>
          <w:color w:val="auto"/>
          <w:sz w:val="24"/>
          <w:szCs w:val="24"/>
        </w:rPr>
        <w:t>经营期限：</w:t>
      </w:r>
    </w:p>
    <w:p>
      <w:pPr>
        <w:ind w:firstLine="480"/>
        <w:rPr>
          <w:rFonts w:ascii="宋体"/>
          <w:color w:val="auto"/>
          <w:sz w:val="24"/>
          <w:szCs w:val="24"/>
          <w:u w:val="single"/>
        </w:rPr>
      </w:pPr>
    </w:p>
    <w:p>
      <w:pPr>
        <w:ind w:firstLine="480"/>
        <w:rPr>
          <w:rFonts w:ascii="宋体"/>
          <w:color w:val="auto"/>
          <w:sz w:val="24"/>
          <w:szCs w:val="24"/>
          <w:u w:val="single"/>
        </w:rPr>
      </w:pPr>
    </w:p>
    <w:p>
      <w:pPr>
        <w:ind w:firstLine="480"/>
        <w:rPr>
          <w:rFonts w:ascii="宋体"/>
          <w:color w:val="auto"/>
          <w:sz w:val="24"/>
          <w:szCs w:val="24"/>
          <w:u w:val="single"/>
        </w:rPr>
      </w:pPr>
      <w:r>
        <w:rPr>
          <w:rFonts w:hint="eastAsia" w:ascii="宋体" w:hAnsi="宋体" w:cs="宋体"/>
          <w:color w:val="auto"/>
          <w:sz w:val="24"/>
          <w:szCs w:val="24"/>
        </w:rPr>
        <w:t>姓名：身份证号：</w:t>
      </w:r>
    </w:p>
    <w:p>
      <w:pPr>
        <w:ind w:firstLine="480"/>
        <w:rPr>
          <w:rFonts w:ascii="宋体"/>
          <w:color w:val="auto"/>
          <w:sz w:val="24"/>
          <w:szCs w:val="24"/>
          <w:u w:val="single"/>
        </w:rPr>
      </w:pPr>
    </w:p>
    <w:p>
      <w:pPr>
        <w:ind w:firstLine="480"/>
        <w:rPr>
          <w:rFonts w:ascii="宋体"/>
          <w:color w:val="auto"/>
          <w:sz w:val="24"/>
          <w:szCs w:val="24"/>
          <w:u w:val="single"/>
        </w:rPr>
      </w:pPr>
    </w:p>
    <w:p>
      <w:pPr>
        <w:ind w:firstLine="480"/>
        <w:rPr>
          <w:rFonts w:ascii="宋体"/>
          <w:color w:val="auto"/>
          <w:sz w:val="24"/>
          <w:szCs w:val="24"/>
        </w:rPr>
      </w:pPr>
      <w:r>
        <w:rPr>
          <w:rFonts w:hint="eastAsia" w:ascii="宋体" w:hAnsi="宋体" w:cs="宋体"/>
          <w:color w:val="auto"/>
          <w:sz w:val="24"/>
          <w:szCs w:val="24"/>
        </w:rPr>
        <w:t>系</w:t>
      </w:r>
      <w:r>
        <w:rPr>
          <w:rFonts w:ascii="宋体" w:hAnsi="宋体" w:cs="宋体"/>
          <w:color w:val="auto"/>
          <w:sz w:val="24"/>
          <w:szCs w:val="24"/>
          <w:u w:val="single"/>
        </w:rPr>
        <w:t xml:space="preserve">                   (</w:t>
      </w:r>
      <w:r>
        <w:rPr>
          <w:rFonts w:hint="eastAsia" w:ascii="宋体" w:hAnsi="宋体" w:cs="宋体"/>
          <w:color w:val="auto"/>
          <w:sz w:val="24"/>
          <w:szCs w:val="24"/>
          <w:u w:val="single"/>
        </w:rPr>
        <w:t>投标单位名称</w:t>
      </w:r>
      <w:r>
        <w:rPr>
          <w:rFonts w:ascii="宋体" w:hAnsi="宋体" w:cs="宋体"/>
          <w:color w:val="auto"/>
          <w:sz w:val="24"/>
          <w:szCs w:val="24"/>
          <w:u w:val="single"/>
        </w:rPr>
        <w:t>)</w:t>
      </w:r>
      <w:r>
        <w:rPr>
          <w:rFonts w:hint="eastAsia" w:ascii="宋体" w:hAnsi="宋体" w:cs="宋体"/>
          <w:color w:val="auto"/>
          <w:sz w:val="24"/>
          <w:szCs w:val="24"/>
        </w:rPr>
        <w:t>的法定代表人。</w:t>
      </w:r>
    </w:p>
    <w:p>
      <w:pPr>
        <w:rPr>
          <w:rFonts w:ascii="宋体"/>
          <w:color w:val="auto"/>
          <w:sz w:val="24"/>
          <w:szCs w:val="24"/>
        </w:rPr>
      </w:pPr>
    </w:p>
    <w:p>
      <w:pPr>
        <w:ind w:firstLine="480"/>
        <w:rPr>
          <w:rFonts w:ascii="宋体"/>
          <w:color w:val="auto"/>
          <w:sz w:val="24"/>
          <w:szCs w:val="24"/>
        </w:rPr>
      </w:pPr>
    </w:p>
    <w:p>
      <w:pPr>
        <w:ind w:firstLine="480"/>
        <w:rPr>
          <w:rFonts w:ascii="宋体"/>
          <w:color w:val="auto"/>
          <w:sz w:val="24"/>
          <w:szCs w:val="24"/>
        </w:rPr>
      </w:pPr>
      <w:r>
        <w:rPr>
          <w:rFonts w:hint="eastAsia" w:ascii="宋体" w:hAnsi="宋体" w:cs="宋体"/>
          <w:color w:val="auto"/>
          <w:sz w:val="24"/>
          <w:szCs w:val="24"/>
        </w:rPr>
        <w:t>特此证明。</w:t>
      </w:r>
    </w:p>
    <w:p>
      <w:pPr>
        <w:rPr>
          <w:rFonts w:ascii="宋体"/>
          <w:color w:val="auto"/>
          <w:sz w:val="24"/>
          <w:szCs w:val="24"/>
        </w:rPr>
      </w:pPr>
    </w:p>
    <w:p>
      <w:pPr>
        <w:rPr>
          <w:rFonts w:ascii="宋体"/>
          <w:color w:val="auto"/>
          <w:sz w:val="24"/>
          <w:szCs w:val="24"/>
        </w:rPr>
      </w:pPr>
    </w:p>
    <w:p>
      <w:pPr>
        <w:rPr>
          <w:rFonts w:ascii="宋体"/>
          <w:color w:val="auto"/>
          <w:sz w:val="24"/>
          <w:szCs w:val="24"/>
        </w:rPr>
      </w:pPr>
    </w:p>
    <w:p>
      <w:pPr>
        <w:rPr>
          <w:rFonts w:ascii="宋体"/>
          <w:color w:val="auto"/>
          <w:sz w:val="24"/>
          <w:szCs w:val="24"/>
        </w:rPr>
      </w:pPr>
    </w:p>
    <w:p>
      <w:pPr>
        <w:rPr>
          <w:rFonts w:ascii="宋体"/>
          <w:color w:val="auto"/>
          <w:sz w:val="24"/>
          <w:szCs w:val="24"/>
        </w:rPr>
      </w:pPr>
    </w:p>
    <w:p>
      <w:pPr>
        <w:ind w:firstLine="480"/>
        <w:rPr>
          <w:rFonts w:ascii="宋体"/>
          <w:color w:val="auto"/>
          <w:sz w:val="24"/>
          <w:szCs w:val="24"/>
          <w:u w:val="single"/>
        </w:rPr>
      </w:pPr>
      <w:r>
        <w:rPr>
          <w:rFonts w:hint="eastAsia" w:ascii="宋体" w:hAnsi="宋体" w:cs="宋体"/>
          <w:color w:val="auto"/>
          <w:sz w:val="24"/>
          <w:szCs w:val="24"/>
        </w:rPr>
        <w:t>投标单位</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 xml:space="preserve">) </w:t>
      </w:r>
      <w:r>
        <w:rPr>
          <w:rFonts w:hint="eastAsia" w:ascii="宋体" w:hAnsi="宋体" w:cs="宋体"/>
          <w:color w:val="auto"/>
          <w:sz w:val="24"/>
          <w:szCs w:val="24"/>
        </w:rPr>
        <w:t>：</w:t>
      </w:r>
    </w:p>
    <w:p>
      <w:pPr>
        <w:rPr>
          <w:rFonts w:ascii="宋体"/>
          <w:color w:val="auto"/>
          <w:sz w:val="24"/>
          <w:szCs w:val="24"/>
          <w:u w:val="single"/>
        </w:rPr>
      </w:pPr>
    </w:p>
    <w:p>
      <w:pPr>
        <w:rPr>
          <w:rFonts w:ascii="宋体"/>
          <w:color w:val="auto"/>
          <w:sz w:val="24"/>
          <w:szCs w:val="24"/>
          <w:u w:val="single"/>
        </w:rPr>
      </w:pPr>
    </w:p>
    <w:p>
      <w:pPr>
        <w:rPr>
          <w:rFonts w:ascii="宋体"/>
          <w:color w:val="auto"/>
          <w:sz w:val="24"/>
          <w:szCs w:val="24"/>
          <w:u w:val="single"/>
        </w:rPr>
      </w:pPr>
    </w:p>
    <w:p>
      <w:pPr>
        <w:ind w:firstLine="480"/>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pStyle w:val="25"/>
        <w:spacing w:line="300" w:lineRule="auto"/>
        <w:rPr>
          <w:rFonts w:hAnsi="宋体" w:cs="Calibri"/>
          <w:color w:val="auto"/>
        </w:rPr>
      </w:pPr>
    </w:p>
    <w:p>
      <w:pPr>
        <w:pStyle w:val="25"/>
        <w:spacing w:line="300" w:lineRule="auto"/>
        <w:rPr>
          <w:rFonts w:hAnsi="宋体" w:cs="Calibri"/>
          <w:color w:val="auto"/>
        </w:rPr>
      </w:pPr>
    </w:p>
    <w:p>
      <w:pPr>
        <w:pStyle w:val="25"/>
        <w:spacing w:line="300" w:lineRule="auto"/>
        <w:rPr>
          <w:rFonts w:hAnsi="宋体" w:cs="Calibri"/>
          <w:color w:val="auto"/>
        </w:rPr>
      </w:pPr>
    </w:p>
    <w:p>
      <w:pPr>
        <w:ind w:firstLine="723"/>
        <w:jc w:val="center"/>
        <w:rPr>
          <w:rFonts w:ascii="宋体"/>
          <w:b/>
          <w:bCs/>
          <w:color w:val="auto"/>
          <w:sz w:val="36"/>
          <w:szCs w:val="36"/>
        </w:rPr>
      </w:pPr>
    </w:p>
    <w:p>
      <w:pPr>
        <w:pStyle w:val="250"/>
        <w:ind w:right="-351" w:firstLine="482"/>
        <w:rPr>
          <w:rFonts w:ascii="宋体" w:cs="Calibri"/>
          <w:color w:val="auto"/>
        </w:rPr>
      </w:pPr>
    </w:p>
    <w:p>
      <w:pPr>
        <w:pStyle w:val="250"/>
        <w:ind w:right="-351" w:firstLine="482"/>
        <w:rPr>
          <w:rFonts w:ascii="宋体" w:cs="Calibri"/>
          <w:color w:val="auto"/>
        </w:rPr>
      </w:pPr>
    </w:p>
    <w:p>
      <w:pPr>
        <w:pStyle w:val="250"/>
        <w:ind w:right="-351" w:firstLine="482"/>
        <w:rPr>
          <w:rFonts w:ascii="宋体" w:cs="Calibri"/>
          <w:color w:val="auto"/>
        </w:rPr>
      </w:pPr>
    </w:p>
    <w:p>
      <w:pPr>
        <w:spacing w:before="120" w:after="120" w:line="460" w:lineRule="exact"/>
        <w:ind w:firstLine="643"/>
        <w:jc w:val="center"/>
        <w:outlineLvl w:val="0"/>
        <w:rPr>
          <w:rFonts w:ascii="宋体"/>
          <w:b/>
          <w:bCs/>
          <w:color w:val="auto"/>
          <w:sz w:val="32"/>
          <w:szCs w:val="32"/>
        </w:rPr>
      </w:pPr>
      <w:bookmarkStart w:id="37" w:name="_Toc130206658"/>
      <w:bookmarkStart w:id="38" w:name="_Toc120519623"/>
      <w:r>
        <w:rPr>
          <w:rFonts w:hint="eastAsia" w:ascii="宋体" w:hAnsi="宋体" w:cs="宋体"/>
          <w:b/>
          <w:bCs/>
          <w:color w:val="auto"/>
          <w:sz w:val="32"/>
          <w:szCs w:val="32"/>
        </w:rPr>
        <w:t>（六）法定代表人授权委托书</w:t>
      </w:r>
      <w:bookmarkEnd w:id="37"/>
      <w:bookmarkEnd w:id="38"/>
    </w:p>
    <w:p>
      <w:pPr>
        <w:rPr>
          <w:rFonts w:ascii="宋体"/>
          <w:color w:val="auto"/>
        </w:rPr>
      </w:pPr>
    </w:p>
    <w:p>
      <w:pPr>
        <w:spacing w:line="500" w:lineRule="exact"/>
        <w:ind w:firstLine="480"/>
        <w:rPr>
          <w:rFonts w:ascii="宋体"/>
          <w:color w:val="auto"/>
          <w:sz w:val="24"/>
          <w:szCs w:val="24"/>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　　　　　</w:t>
      </w:r>
      <w:r>
        <w:rPr>
          <w:rFonts w:hint="eastAsia" w:ascii="宋体" w:hAnsi="宋体" w:cs="宋体"/>
          <w:color w:val="auto"/>
          <w:sz w:val="24"/>
          <w:szCs w:val="24"/>
        </w:rPr>
        <w:t>（姓名）系</w:t>
      </w:r>
      <w:r>
        <w:rPr>
          <w:rFonts w:hint="eastAsia" w:ascii="宋体" w:hAnsi="宋体" w:cs="宋体"/>
          <w:color w:val="auto"/>
          <w:sz w:val="24"/>
          <w:szCs w:val="24"/>
          <w:u w:val="single"/>
        </w:rPr>
        <w:t>　　　　　　</w:t>
      </w:r>
      <w:r>
        <w:rPr>
          <w:rFonts w:hint="eastAsia" w:ascii="宋体" w:hAnsi="宋体" w:cs="宋体"/>
          <w:color w:val="auto"/>
          <w:sz w:val="24"/>
          <w:szCs w:val="24"/>
        </w:rPr>
        <w:t>（投标人名称）的法定代表人，现授权委托</w:t>
      </w:r>
      <w:r>
        <w:rPr>
          <w:rFonts w:hint="eastAsia" w:ascii="宋体" w:hAnsi="宋体" w:cs="宋体"/>
          <w:color w:val="auto"/>
          <w:sz w:val="24"/>
          <w:szCs w:val="24"/>
          <w:u w:val="single"/>
        </w:rPr>
        <w:t>　　　　　　　　　</w:t>
      </w:r>
      <w:r>
        <w:rPr>
          <w:rFonts w:hint="eastAsia" w:ascii="宋体" w:hAnsi="宋体" w:cs="宋体"/>
          <w:color w:val="auto"/>
          <w:sz w:val="24"/>
          <w:szCs w:val="24"/>
        </w:rPr>
        <w:t>（单位名称）</w:t>
      </w:r>
      <w:r>
        <w:rPr>
          <w:rFonts w:hint="eastAsia" w:ascii="宋体" w:hAnsi="宋体" w:cs="宋体"/>
          <w:color w:val="auto"/>
          <w:sz w:val="24"/>
          <w:szCs w:val="24"/>
          <w:u w:val="single"/>
        </w:rPr>
        <w:t>　　　　</w:t>
      </w:r>
      <w:r>
        <w:rPr>
          <w:rFonts w:hint="eastAsia" w:ascii="宋体" w:hAnsi="宋体" w:cs="宋体"/>
          <w:color w:val="auto"/>
          <w:sz w:val="24"/>
          <w:szCs w:val="24"/>
        </w:rPr>
        <w:t>（姓名）为我的代理人，以本公司的名义参加</w:t>
      </w:r>
      <w:r>
        <w:rPr>
          <w:rFonts w:hint="eastAsia" w:ascii="宋体" w:hAnsi="宋体" w:cs="宋体"/>
          <w:color w:val="auto"/>
          <w:sz w:val="24"/>
          <w:szCs w:val="24"/>
          <w:u w:val="single"/>
        </w:rPr>
        <w:t>　　　　　　　　　　　　　　　</w:t>
      </w:r>
      <w:r>
        <w:rPr>
          <w:rFonts w:hint="eastAsia" w:ascii="宋体" w:hAnsi="宋体" w:cs="宋体"/>
          <w:color w:val="auto"/>
          <w:sz w:val="24"/>
          <w:szCs w:val="24"/>
        </w:rPr>
        <w:t>的投标活动。代理人在开标、询标、合同谈判等过程中所签署的一切文件和处理与之有关的一切事务，我均予以承认。</w:t>
      </w:r>
    </w:p>
    <w:p>
      <w:pPr>
        <w:spacing w:line="500" w:lineRule="exact"/>
        <w:rPr>
          <w:rFonts w:ascii="宋体"/>
          <w:color w:val="auto"/>
          <w:sz w:val="24"/>
          <w:szCs w:val="24"/>
        </w:rPr>
      </w:pPr>
    </w:p>
    <w:p>
      <w:pPr>
        <w:spacing w:line="500" w:lineRule="exact"/>
        <w:ind w:firstLine="480"/>
        <w:rPr>
          <w:rFonts w:ascii="宋体"/>
          <w:color w:val="auto"/>
          <w:sz w:val="24"/>
          <w:szCs w:val="24"/>
        </w:rPr>
      </w:pPr>
      <w:r>
        <w:rPr>
          <w:rFonts w:hint="eastAsia" w:ascii="宋体" w:hAnsi="宋体" w:cs="宋体"/>
          <w:color w:val="auto"/>
          <w:sz w:val="24"/>
          <w:szCs w:val="24"/>
        </w:rPr>
        <w:t>代理人无转委权，特此委托。</w:t>
      </w:r>
    </w:p>
    <w:p>
      <w:pPr>
        <w:spacing w:line="500" w:lineRule="exact"/>
        <w:rPr>
          <w:rFonts w:ascii="宋体"/>
          <w:color w:val="auto"/>
          <w:sz w:val="24"/>
          <w:szCs w:val="24"/>
        </w:rPr>
      </w:pPr>
    </w:p>
    <w:p>
      <w:pPr>
        <w:spacing w:line="500" w:lineRule="exact"/>
        <w:ind w:firstLine="480"/>
        <w:rPr>
          <w:rFonts w:ascii="宋体"/>
          <w:color w:val="auto"/>
          <w:sz w:val="24"/>
          <w:szCs w:val="24"/>
        </w:rPr>
      </w:pPr>
      <w:r>
        <w:rPr>
          <w:rFonts w:hint="eastAsia" w:ascii="宋体" w:hAnsi="宋体" w:cs="宋体"/>
          <w:color w:val="auto"/>
          <w:sz w:val="24"/>
          <w:szCs w:val="24"/>
        </w:rPr>
        <w:t>代理人联系电话（手机号）：</w:t>
      </w:r>
    </w:p>
    <w:p>
      <w:pPr>
        <w:ind w:firstLine="480"/>
        <w:rPr>
          <w:rFonts w:ascii="宋体"/>
          <w:color w:val="auto"/>
          <w:sz w:val="24"/>
          <w:szCs w:val="24"/>
        </w:rPr>
      </w:pPr>
    </w:p>
    <w:p>
      <w:pPr>
        <w:spacing w:line="500" w:lineRule="exact"/>
        <w:ind w:firstLine="480"/>
        <w:rPr>
          <w:rFonts w:ascii="宋体"/>
          <w:color w:val="auto"/>
          <w:sz w:val="24"/>
          <w:szCs w:val="24"/>
        </w:rPr>
      </w:pPr>
      <w:r>
        <w:rPr>
          <w:rFonts w:hint="eastAsia" w:ascii="宋体" w:hAnsi="宋体" w:cs="宋体"/>
          <w:color w:val="auto"/>
          <w:sz w:val="24"/>
          <w:szCs w:val="24"/>
        </w:rPr>
        <w:t>投标人（公章）：</w:t>
      </w:r>
    </w:p>
    <w:p>
      <w:pPr>
        <w:spacing w:line="500" w:lineRule="exact"/>
        <w:ind w:firstLine="480"/>
        <w:rPr>
          <w:rFonts w:ascii="宋体"/>
          <w:color w:val="auto"/>
          <w:sz w:val="24"/>
          <w:szCs w:val="24"/>
        </w:rPr>
      </w:pPr>
    </w:p>
    <w:p>
      <w:pPr>
        <w:spacing w:line="500" w:lineRule="exact"/>
        <w:ind w:firstLine="480"/>
        <w:rPr>
          <w:rFonts w:ascii="宋体"/>
          <w:color w:val="auto"/>
          <w:sz w:val="24"/>
          <w:szCs w:val="24"/>
        </w:rPr>
      </w:pPr>
      <w:r>
        <w:rPr>
          <w:rFonts w:hint="eastAsia" w:ascii="宋体" w:hAnsi="宋体" w:cs="宋体"/>
          <w:color w:val="auto"/>
          <w:sz w:val="24"/>
          <w:szCs w:val="24"/>
        </w:rPr>
        <w:t>法定代表人（签字或盖章）：</w:t>
      </w:r>
    </w:p>
    <w:p>
      <w:pPr>
        <w:spacing w:line="500" w:lineRule="exact"/>
        <w:ind w:firstLine="480"/>
        <w:rPr>
          <w:rFonts w:ascii="宋体"/>
          <w:color w:val="auto"/>
          <w:sz w:val="24"/>
          <w:szCs w:val="24"/>
        </w:rPr>
      </w:pPr>
    </w:p>
    <w:p>
      <w:pPr>
        <w:spacing w:line="500" w:lineRule="exact"/>
        <w:ind w:firstLine="480"/>
        <w:jc w:val="right"/>
        <w:rPr>
          <w:rFonts w:ascii="宋体"/>
          <w:color w:val="auto"/>
          <w:sz w:val="24"/>
          <w:szCs w:val="24"/>
        </w:rPr>
      </w:pPr>
      <w:r>
        <w:rPr>
          <w:rFonts w:hint="eastAsia" w:ascii="宋体" w:hAnsi="宋体" w:cs="宋体"/>
          <w:color w:val="auto"/>
          <w:sz w:val="24"/>
          <w:szCs w:val="24"/>
        </w:rPr>
        <w:t>　　年　月　日</w:t>
      </w:r>
    </w:p>
    <w:p>
      <w:pPr>
        <w:rPr>
          <w:rFonts w:ascii="宋体"/>
          <w:color w:val="auto"/>
          <w:sz w:val="24"/>
          <w:szCs w:val="24"/>
        </w:rPr>
      </w:pPr>
    </w:p>
    <w:p>
      <w:pPr>
        <w:rPr>
          <w:rFonts w:ascii="宋体"/>
          <w:color w:val="auto"/>
          <w:sz w:val="24"/>
          <w:szCs w:val="24"/>
        </w:rPr>
      </w:pPr>
    </w:p>
    <w:p>
      <w:pPr>
        <w:rPr>
          <w:rFonts w:ascii="宋体"/>
          <w:color w:val="auto"/>
          <w:sz w:val="24"/>
          <w:szCs w:val="24"/>
        </w:rPr>
      </w:pPr>
      <w:r>
        <w:rPr>
          <w:rFonts w:hint="eastAsia" w:ascii="宋体" w:hAnsi="宋体" w:cs="宋体"/>
          <w:color w:val="auto"/>
          <w:sz w:val="24"/>
          <w:szCs w:val="24"/>
        </w:rPr>
        <w:t>附：</w:t>
      </w:r>
    </w:p>
    <w:tbl>
      <w:tblPr>
        <w:tblStyle w:val="43"/>
        <w:tblW w:w="921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0" w:hRule="atLeast"/>
        </w:trPr>
        <w:tc>
          <w:tcPr>
            <w:tcW w:w="9214" w:type="dxa"/>
            <w:noWrap w:val="0"/>
            <w:vAlign w:val="center"/>
          </w:tcPr>
          <w:p>
            <w:pPr>
              <w:jc w:val="center"/>
              <w:rPr>
                <w:rFonts w:ascii="宋体"/>
                <w:color w:val="auto"/>
                <w:sz w:val="24"/>
                <w:szCs w:val="24"/>
              </w:rPr>
            </w:pPr>
            <w:r>
              <w:rPr>
                <w:rFonts w:hint="eastAsia" w:ascii="宋体" w:hAnsi="宋体" w:cs="宋体"/>
                <w:color w:val="auto"/>
                <w:sz w:val="24"/>
                <w:szCs w:val="24"/>
              </w:rPr>
              <w:t>（代理人身份证复印件粘贴处）</w:t>
            </w:r>
          </w:p>
        </w:tc>
      </w:tr>
    </w:tbl>
    <w:p>
      <w:pPr>
        <w:spacing w:line="360" w:lineRule="auto"/>
        <w:ind w:firstLine="723"/>
        <w:rPr>
          <w:rFonts w:ascii="宋体"/>
          <w:b/>
          <w:bCs/>
          <w:color w:val="auto"/>
          <w:sz w:val="36"/>
          <w:szCs w:val="36"/>
        </w:rPr>
      </w:pPr>
    </w:p>
    <w:p>
      <w:pPr>
        <w:spacing w:line="360" w:lineRule="auto"/>
        <w:ind w:firstLine="723"/>
        <w:rPr>
          <w:rFonts w:ascii="宋体"/>
          <w:b/>
          <w:bCs/>
          <w:color w:val="auto"/>
          <w:sz w:val="36"/>
          <w:szCs w:val="36"/>
        </w:rPr>
      </w:pPr>
    </w:p>
    <w:p>
      <w:pPr>
        <w:spacing w:before="120" w:after="120" w:line="460" w:lineRule="exact"/>
        <w:ind w:firstLine="643"/>
        <w:jc w:val="center"/>
        <w:outlineLvl w:val="0"/>
        <w:rPr>
          <w:rFonts w:ascii="宋体"/>
          <w:b/>
          <w:bCs/>
          <w:color w:val="auto"/>
          <w:sz w:val="32"/>
          <w:szCs w:val="32"/>
        </w:rPr>
      </w:pPr>
      <w:bookmarkStart w:id="39" w:name="_Toc120519624"/>
      <w:bookmarkStart w:id="40" w:name="_Toc130206659"/>
      <w:r>
        <w:rPr>
          <w:rFonts w:hint="eastAsia" w:ascii="宋体" w:hAnsi="宋体" w:cs="宋体"/>
          <w:b/>
          <w:bCs/>
          <w:color w:val="auto"/>
          <w:sz w:val="32"/>
          <w:szCs w:val="32"/>
        </w:rPr>
        <w:t>（七）公共资源交易投标信用承诺书</w:t>
      </w:r>
      <w:bookmarkEnd w:id="39"/>
      <w:bookmarkEnd w:id="40"/>
    </w:p>
    <w:p>
      <w:pPr>
        <w:spacing w:line="520" w:lineRule="exact"/>
        <w:ind w:firstLine="480"/>
        <w:jc w:val="left"/>
        <w:rPr>
          <w:rFonts w:ascii="宋体"/>
          <w:color w:val="auto"/>
          <w:sz w:val="24"/>
          <w:szCs w:val="24"/>
        </w:rPr>
      </w:pPr>
      <w:r>
        <w:rPr>
          <w:rFonts w:hint="eastAsia" w:ascii="宋体" w:hAnsi="宋体" w:cs="宋体"/>
          <w:color w:val="auto"/>
          <w:sz w:val="24"/>
          <w:szCs w:val="24"/>
        </w:rPr>
        <w:t>为营造公开、公平、公正的公共资源交易环境，树立诚信守法的投标人形象，本人代表本单位作出以下承诺：</w:t>
      </w:r>
    </w:p>
    <w:p>
      <w:pPr>
        <w:spacing w:line="520" w:lineRule="exact"/>
        <w:ind w:firstLine="480"/>
        <w:jc w:val="left"/>
        <w:rPr>
          <w:rFonts w:ascii="宋体"/>
          <w:color w:val="auto"/>
          <w:sz w:val="24"/>
          <w:szCs w:val="24"/>
        </w:rPr>
      </w:pPr>
      <w:r>
        <w:rPr>
          <w:rFonts w:hint="eastAsia" w:ascii="宋体" w:hAnsi="宋体" w:cs="宋体"/>
          <w:color w:val="auto"/>
          <w:sz w:val="24"/>
          <w:szCs w:val="24"/>
        </w:rPr>
        <w:t>一、本单位对所提交的单位基本信息、单位负责人、项目负责人、技术负责人、从业资质和资格、业绩、财务状况、信誉等所有资料，均合法、真实、准确、有效，无任何伪造、修改、虚假成分；</w:t>
      </w:r>
    </w:p>
    <w:p>
      <w:pPr>
        <w:spacing w:line="520" w:lineRule="exact"/>
        <w:ind w:firstLine="480"/>
        <w:jc w:val="left"/>
        <w:rPr>
          <w:rFonts w:ascii="宋体"/>
          <w:color w:val="auto"/>
          <w:sz w:val="24"/>
          <w:szCs w:val="24"/>
        </w:rPr>
      </w:pPr>
      <w:r>
        <w:rPr>
          <w:rFonts w:hint="eastAsia" w:ascii="宋体" w:hAnsi="宋体" w:cs="宋体"/>
          <w:color w:val="auto"/>
          <w:sz w:val="24"/>
          <w:szCs w:val="24"/>
        </w:rPr>
        <w:t>二、严格依照国家和省、市关于招标投标等方面的法律、法规、规章、规范性文件，参加公共资源交易招标投标活动；积极履行社会责任，促进廉政建设；</w:t>
      </w:r>
    </w:p>
    <w:p>
      <w:pPr>
        <w:spacing w:line="520" w:lineRule="exact"/>
        <w:ind w:firstLine="480"/>
        <w:jc w:val="left"/>
        <w:rPr>
          <w:rFonts w:ascii="宋体"/>
          <w:color w:val="auto"/>
          <w:sz w:val="24"/>
          <w:szCs w:val="24"/>
        </w:rPr>
      </w:pPr>
      <w:r>
        <w:rPr>
          <w:rFonts w:hint="eastAsia" w:ascii="宋体" w:hAnsi="宋体" w:cs="宋体"/>
          <w:color w:val="auto"/>
          <w:sz w:val="24"/>
          <w:szCs w:val="24"/>
        </w:rPr>
        <w:t>三、严格遵守即时信息公示规定，及时更新公共资源交易中心主体信息库中信息；</w:t>
      </w:r>
    </w:p>
    <w:p>
      <w:pPr>
        <w:spacing w:line="520" w:lineRule="exact"/>
        <w:ind w:firstLine="480"/>
        <w:jc w:val="left"/>
        <w:rPr>
          <w:rFonts w:ascii="宋体"/>
          <w:color w:val="auto"/>
          <w:sz w:val="24"/>
          <w:szCs w:val="24"/>
        </w:rPr>
      </w:pPr>
      <w:r>
        <w:rPr>
          <w:rFonts w:hint="eastAsia" w:ascii="宋体" w:hAnsi="宋体" w:cs="宋体"/>
          <w:color w:val="auto"/>
          <w:sz w:val="24"/>
          <w:szCs w:val="24"/>
        </w:rPr>
        <w:t>四、</w:t>
      </w:r>
      <w:r>
        <w:rPr>
          <w:rFonts w:hint="eastAsia" w:ascii="宋体" w:hAnsi="宋体" w:cs="宋体"/>
          <w:color w:val="auto"/>
          <w:spacing w:val="-4"/>
          <w:sz w:val="24"/>
          <w:szCs w:val="24"/>
        </w:rPr>
        <w:t>自我约束、自我管理，守合同、重信用，不参与围标串标、弄虚作假、骗取中标、干扰评标、违约毁约、恶意投诉等行为，主动维护公共资源交易招标投标的良好秩序</w:t>
      </w:r>
      <w:r>
        <w:rPr>
          <w:rFonts w:hint="eastAsia" w:ascii="宋体" w:hAnsi="宋体" w:cs="宋体"/>
          <w:color w:val="auto"/>
          <w:sz w:val="24"/>
          <w:szCs w:val="24"/>
        </w:rPr>
        <w:t>；</w:t>
      </w:r>
    </w:p>
    <w:p>
      <w:pPr>
        <w:spacing w:line="520" w:lineRule="exact"/>
        <w:ind w:firstLine="480"/>
        <w:jc w:val="left"/>
        <w:rPr>
          <w:rFonts w:ascii="宋体"/>
          <w:color w:val="auto"/>
          <w:sz w:val="24"/>
          <w:szCs w:val="24"/>
        </w:rPr>
      </w:pPr>
      <w:r>
        <w:rPr>
          <w:rFonts w:hint="eastAsia" w:ascii="宋体" w:hAnsi="宋体" w:cs="宋体"/>
          <w:color w:val="auto"/>
          <w:sz w:val="24"/>
          <w:szCs w:val="24"/>
        </w:rPr>
        <w:t>五、自觉接受政府部门、行业组织、社会公众、新闻舆论等监督；</w:t>
      </w:r>
    </w:p>
    <w:p>
      <w:pPr>
        <w:spacing w:line="520" w:lineRule="exact"/>
        <w:ind w:firstLine="480"/>
        <w:jc w:val="left"/>
        <w:rPr>
          <w:rFonts w:ascii="宋体"/>
          <w:color w:val="auto"/>
          <w:sz w:val="24"/>
          <w:szCs w:val="24"/>
        </w:rPr>
      </w:pPr>
      <w:r>
        <w:rPr>
          <w:rFonts w:hint="eastAsia" w:ascii="宋体" w:hAnsi="宋体" w:cs="宋体"/>
          <w:color w:val="auto"/>
          <w:sz w:val="24"/>
          <w:szCs w:val="24"/>
        </w:rPr>
        <w:t>六、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520" w:lineRule="exact"/>
        <w:ind w:firstLine="480"/>
        <w:jc w:val="left"/>
        <w:rPr>
          <w:rFonts w:ascii="宋体"/>
          <w:color w:val="auto"/>
          <w:sz w:val="24"/>
          <w:szCs w:val="24"/>
        </w:rPr>
      </w:pPr>
      <w:r>
        <w:rPr>
          <w:rFonts w:hint="eastAsia" w:ascii="宋体" w:hAnsi="宋体" w:cs="宋体"/>
          <w:color w:val="auto"/>
          <w:sz w:val="24"/>
          <w:szCs w:val="24"/>
        </w:rPr>
        <w:t>七、上述承诺已向本单位员工作了宣传教育。</w:t>
      </w:r>
    </w:p>
    <w:p>
      <w:pPr>
        <w:spacing w:line="480" w:lineRule="exact"/>
        <w:jc w:val="left"/>
        <w:rPr>
          <w:rFonts w:ascii="宋体"/>
          <w:color w:val="auto"/>
          <w:sz w:val="24"/>
          <w:szCs w:val="24"/>
        </w:rPr>
      </w:pPr>
    </w:p>
    <w:p>
      <w:pPr>
        <w:spacing w:before="156" w:after="156" w:line="480" w:lineRule="exact"/>
        <w:ind w:firstLine="480"/>
        <w:rPr>
          <w:rFonts w:ascii="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w:t>
      </w:r>
      <w:r>
        <w:rPr>
          <w:rFonts w:hint="eastAsia" w:ascii="宋体" w:hAnsi="宋体" w:cs="宋体"/>
          <w:color w:val="auto"/>
          <w:sz w:val="24"/>
          <w:szCs w:val="24"/>
        </w:rPr>
        <w:t>盖章或签字</w:t>
      </w:r>
      <w:r>
        <w:rPr>
          <w:rFonts w:ascii="宋体" w:hAnsi="宋体" w:cs="宋体"/>
          <w:color w:val="auto"/>
          <w:sz w:val="24"/>
          <w:szCs w:val="24"/>
        </w:rPr>
        <w:t>)</w:t>
      </w:r>
      <w:r>
        <w:rPr>
          <w:rFonts w:hint="eastAsia" w:ascii="宋体" w:hAnsi="宋体" w:cs="宋体"/>
          <w:color w:val="auto"/>
          <w:sz w:val="24"/>
          <w:szCs w:val="24"/>
        </w:rPr>
        <w:t>：</w:t>
      </w:r>
    </w:p>
    <w:p>
      <w:pPr>
        <w:spacing w:before="156" w:after="156" w:line="480" w:lineRule="exact"/>
        <w:ind w:firstLine="480"/>
        <w:rPr>
          <w:rFonts w:hint="eastAsia" w:ascii="宋体" w:hAnsi="宋体" w:cs="宋体"/>
          <w:color w:val="auto"/>
          <w:sz w:val="24"/>
          <w:szCs w:val="24"/>
        </w:rPr>
      </w:pPr>
    </w:p>
    <w:p>
      <w:pPr>
        <w:spacing w:before="156" w:after="156" w:line="480" w:lineRule="exact"/>
        <w:ind w:firstLine="480"/>
        <w:rPr>
          <w:rFonts w:ascii="宋体"/>
          <w:color w:val="auto"/>
          <w:sz w:val="24"/>
          <w:szCs w:val="24"/>
        </w:rPr>
      </w:pPr>
      <w:r>
        <w:rPr>
          <w:rFonts w:hint="eastAsia" w:ascii="宋体" w:hAnsi="宋体" w:cs="宋体"/>
          <w:color w:val="auto"/>
          <w:sz w:val="24"/>
          <w:szCs w:val="24"/>
        </w:rPr>
        <w:t>投标人（盖章）：</w:t>
      </w:r>
    </w:p>
    <w:p>
      <w:pPr>
        <w:spacing w:after="156" w:line="480" w:lineRule="exact"/>
        <w:jc w:val="left"/>
        <w:rPr>
          <w:rFonts w:ascii="宋体"/>
          <w:color w:val="auto"/>
          <w:sz w:val="24"/>
          <w:szCs w:val="24"/>
        </w:rPr>
      </w:pPr>
    </w:p>
    <w:p>
      <w:pPr>
        <w:spacing w:after="156" w:line="480" w:lineRule="exact"/>
        <w:jc w:val="right"/>
        <w:rPr>
          <w:rFonts w:hint="eastAsia" w:ascii="宋体" w:hAnsi="宋体" w:cs="宋体"/>
          <w:color w:val="auto"/>
          <w:sz w:val="24"/>
          <w:szCs w:val="24"/>
        </w:rPr>
      </w:pPr>
    </w:p>
    <w:p>
      <w:pPr>
        <w:spacing w:after="156" w:line="480" w:lineRule="exact"/>
        <w:jc w:val="right"/>
        <w:rPr>
          <w:rFonts w:ascii="宋体"/>
          <w:color w:val="auto"/>
          <w:sz w:val="24"/>
          <w:szCs w:val="24"/>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pStyle w:val="2"/>
        <w:rPr>
          <w:color w:val="auto"/>
        </w:rPr>
      </w:pPr>
    </w:p>
    <w:p>
      <w:pPr>
        <w:spacing w:before="120" w:after="120" w:line="460" w:lineRule="exact"/>
        <w:ind w:firstLine="643"/>
        <w:jc w:val="center"/>
        <w:outlineLvl w:val="0"/>
        <w:rPr>
          <w:rFonts w:hint="eastAsia" w:ascii="宋体" w:hAnsi="宋体" w:cs="宋体"/>
          <w:b/>
          <w:bCs/>
          <w:color w:val="auto"/>
          <w:sz w:val="32"/>
          <w:szCs w:val="32"/>
        </w:rPr>
      </w:pPr>
    </w:p>
    <w:p>
      <w:pPr>
        <w:spacing w:before="120" w:after="120" w:line="460" w:lineRule="exact"/>
        <w:ind w:firstLine="643"/>
        <w:jc w:val="center"/>
        <w:outlineLvl w:val="0"/>
        <w:rPr>
          <w:rFonts w:ascii="宋体"/>
          <w:b/>
          <w:bCs/>
          <w:color w:val="auto"/>
          <w:sz w:val="32"/>
          <w:szCs w:val="32"/>
        </w:rPr>
      </w:pPr>
      <w:r>
        <w:rPr>
          <w:rFonts w:hint="eastAsia" w:ascii="宋体" w:hAnsi="宋体" w:cs="宋体"/>
          <w:b/>
          <w:bCs/>
          <w:color w:val="auto"/>
          <w:sz w:val="32"/>
          <w:szCs w:val="32"/>
        </w:rPr>
        <w:t>（八）建湖县政府采购事前信用承诺书</w:t>
      </w:r>
    </w:p>
    <w:p>
      <w:pPr>
        <w:widowControl/>
        <w:spacing w:line="520" w:lineRule="exact"/>
        <w:ind w:firstLine="480"/>
        <w:jc w:val="left"/>
        <w:rPr>
          <w:rFonts w:ascii="宋体"/>
          <w:color w:val="auto"/>
          <w:sz w:val="24"/>
          <w:szCs w:val="24"/>
        </w:rPr>
      </w:pPr>
      <w:r>
        <w:rPr>
          <w:rFonts w:hint="eastAsia" w:ascii="宋体" w:hAnsi="宋体" w:cs="宋体"/>
          <w:color w:val="auto"/>
          <w:sz w:val="24"/>
          <w:szCs w:val="24"/>
        </w:rPr>
        <w:t>为营造我县公开、公平、公正、诚实守信的政府采购交易环境，树立诚信守法的投标人形象，本人代表本单位作出以下承诺：</w:t>
      </w:r>
    </w:p>
    <w:p>
      <w:pPr>
        <w:widowControl/>
        <w:spacing w:line="520" w:lineRule="exact"/>
        <w:jc w:val="left"/>
        <w:rPr>
          <w:rFonts w:ascii="宋体"/>
          <w:color w:val="auto"/>
          <w:sz w:val="24"/>
          <w:szCs w:val="24"/>
        </w:rPr>
      </w:pPr>
      <w:r>
        <w:rPr>
          <w:rFonts w:hint="eastAsia" w:ascii="宋体" w:hAnsi="宋体" w:cs="宋体"/>
          <w:color w:val="auto"/>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20" w:lineRule="exact"/>
        <w:ind w:firstLine="480"/>
        <w:jc w:val="left"/>
        <w:rPr>
          <w:rFonts w:ascii="宋体"/>
          <w:color w:val="auto"/>
          <w:sz w:val="24"/>
          <w:szCs w:val="24"/>
        </w:rPr>
      </w:pPr>
      <w:r>
        <w:rPr>
          <w:rFonts w:hint="eastAsia" w:ascii="宋体" w:hAnsi="宋体" w:cs="宋体"/>
          <w:color w:val="auto"/>
          <w:sz w:val="24"/>
          <w:szCs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20" w:lineRule="exact"/>
        <w:jc w:val="left"/>
        <w:rPr>
          <w:rFonts w:ascii="宋体"/>
          <w:color w:val="auto"/>
          <w:sz w:val="24"/>
          <w:szCs w:val="24"/>
        </w:rPr>
      </w:pP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（三）严格依照国家和省、市关于政府采购的法律、法规、规章、规范性文件，参加政府采购投标活动；积极履行社会责任，促进廉政建设；</w:t>
      </w:r>
    </w:p>
    <w:p>
      <w:pPr>
        <w:widowControl/>
        <w:spacing w:line="520" w:lineRule="exact"/>
        <w:jc w:val="left"/>
        <w:rPr>
          <w:rFonts w:ascii="宋体"/>
          <w:color w:val="auto"/>
          <w:sz w:val="24"/>
          <w:szCs w:val="24"/>
        </w:rPr>
      </w:pP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（四）严格遵守即时信息公示规定，及时更新维护建湖县政府采购网中与本单位相关的信息；</w:t>
      </w:r>
    </w:p>
    <w:p>
      <w:pPr>
        <w:widowControl/>
        <w:spacing w:line="520" w:lineRule="exact"/>
        <w:jc w:val="left"/>
        <w:rPr>
          <w:rFonts w:ascii="宋体"/>
          <w:color w:val="auto"/>
          <w:sz w:val="24"/>
          <w:szCs w:val="24"/>
        </w:rPr>
      </w:pP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20" w:lineRule="exact"/>
        <w:jc w:val="left"/>
        <w:rPr>
          <w:rFonts w:ascii="宋体"/>
          <w:color w:val="auto"/>
          <w:sz w:val="24"/>
          <w:szCs w:val="24"/>
        </w:rPr>
      </w:pP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（六）自觉接受政府、行业组织、社会公众、新闻舆论的监督；</w:t>
      </w:r>
    </w:p>
    <w:p>
      <w:pPr>
        <w:widowControl/>
        <w:spacing w:line="520" w:lineRule="exact"/>
        <w:ind w:firstLine="480"/>
        <w:jc w:val="left"/>
        <w:rPr>
          <w:rFonts w:ascii="宋体"/>
          <w:color w:val="auto"/>
          <w:sz w:val="24"/>
          <w:szCs w:val="24"/>
        </w:rPr>
      </w:pPr>
      <w:r>
        <w:rPr>
          <w:rFonts w:hint="eastAsia" w:ascii="宋体" w:hAnsi="宋体" w:cs="宋体"/>
          <w:color w:val="auto"/>
          <w:sz w:val="24"/>
          <w:szCs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20" w:lineRule="exact"/>
        <w:jc w:val="left"/>
        <w:rPr>
          <w:rFonts w:ascii="宋体"/>
          <w:color w:val="auto"/>
          <w:sz w:val="24"/>
          <w:szCs w:val="24"/>
        </w:rPr>
      </w:pP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（八）本人已认真阅读了上述承诺，并向本单位员工作了宣传教育。</w:t>
      </w:r>
    </w:p>
    <w:p>
      <w:pPr>
        <w:widowControl/>
        <w:spacing w:line="520" w:lineRule="exact"/>
        <w:ind w:firstLine="480"/>
        <w:jc w:val="left"/>
        <w:rPr>
          <w:rFonts w:hint="eastAsia" w:ascii="宋体" w:hAnsi="宋体" w:cs="宋体"/>
          <w:color w:val="auto"/>
          <w:sz w:val="24"/>
          <w:szCs w:val="24"/>
        </w:rPr>
      </w:pPr>
    </w:p>
    <w:p>
      <w:pPr>
        <w:widowControl/>
        <w:spacing w:line="520" w:lineRule="exact"/>
        <w:ind w:firstLine="480"/>
        <w:jc w:val="left"/>
        <w:rPr>
          <w:rFonts w:ascii="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w:t>
      </w:r>
      <w:r>
        <w:rPr>
          <w:rFonts w:hint="eastAsia" w:ascii="宋体" w:hAnsi="宋体" w:cs="宋体"/>
          <w:color w:val="auto"/>
          <w:sz w:val="24"/>
          <w:szCs w:val="24"/>
        </w:rPr>
        <w:t>盖章或签字</w:t>
      </w:r>
      <w:r>
        <w:rPr>
          <w:rFonts w:ascii="宋体" w:hAnsi="宋体" w:cs="宋体"/>
          <w:color w:val="auto"/>
          <w:sz w:val="24"/>
          <w:szCs w:val="24"/>
        </w:rPr>
        <w:t>)</w:t>
      </w:r>
      <w:r>
        <w:rPr>
          <w:rFonts w:hint="eastAsia" w:ascii="宋体" w:hAnsi="宋体" w:cs="宋体"/>
          <w:color w:val="auto"/>
          <w:sz w:val="24"/>
          <w:szCs w:val="24"/>
        </w:rPr>
        <w:t>：</w:t>
      </w:r>
    </w:p>
    <w:p>
      <w:pPr>
        <w:widowControl/>
        <w:spacing w:line="520" w:lineRule="exact"/>
        <w:ind w:firstLine="480"/>
        <w:jc w:val="left"/>
        <w:rPr>
          <w:rFonts w:hint="eastAsia" w:ascii="宋体" w:hAnsi="宋体" w:cs="宋体"/>
          <w:color w:val="auto"/>
          <w:sz w:val="24"/>
          <w:szCs w:val="24"/>
        </w:rPr>
      </w:pPr>
    </w:p>
    <w:p>
      <w:pPr>
        <w:widowControl/>
        <w:spacing w:line="520" w:lineRule="exact"/>
        <w:ind w:firstLine="480"/>
        <w:jc w:val="left"/>
        <w:rPr>
          <w:rFonts w:ascii="宋体"/>
          <w:color w:val="auto"/>
          <w:sz w:val="24"/>
          <w:szCs w:val="24"/>
        </w:rPr>
      </w:pPr>
      <w:r>
        <w:rPr>
          <w:rFonts w:hint="eastAsia" w:ascii="宋体" w:hAnsi="宋体" w:cs="宋体"/>
          <w:color w:val="auto"/>
          <w:sz w:val="24"/>
          <w:szCs w:val="24"/>
        </w:rPr>
        <w:t>单位名称（盖章）：</w:t>
      </w:r>
    </w:p>
    <w:p>
      <w:pPr>
        <w:widowControl/>
        <w:spacing w:line="500" w:lineRule="exact"/>
        <w:jc w:val="right"/>
        <w:rPr>
          <w:rFonts w:ascii="宋体"/>
          <w:color w:val="auto"/>
          <w:sz w:val="24"/>
          <w:szCs w:val="24"/>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spacing w:before="120" w:after="120" w:line="460" w:lineRule="exact"/>
        <w:ind w:firstLine="643"/>
        <w:jc w:val="center"/>
        <w:outlineLvl w:val="0"/>
        <w:rPr>
          <w:rFonts w:ascii="宋体"/>
          <w:b/>
          <w:bCs/>
          <w:color w:val="auto"/>
          <w:sz w:val="32"/>
          <w:szCs w:val="32"/>
        </w:rPr>
      </w:pPr>
      <w:bookmarkStart w:id="41" w:name="_Toc120519626"/>
      <w:bookmarkStart w:id="42" w:name="_Toc130206661"/>
      <w:r>
        <w:rPr>
          <w:rFonts w:hint="eastAsia" w:ascii="宋体" w:hAnsi="宋体" w:cs="宋体"/>
          <w:b/>
          <w:bCs/>
          <w:color w:val="auto"/>
          <w:sz w:val="32"/>
          <w:szCs w:val="32"/>
        </w:rPr>
        <w:t>（九）</w:t>
      </w:r>
      <w:bookmarkEnd w:id="41"/>
      <w:bookmarkStart w:id="43" w:name="_Toc120519627"/>
      <w:r>
        <w:rPr>
          <w:rFonts w:hint="eastAsia" w:ascii="宋体" w:hAnsi="宋体" w:cs="宋体"/>
          <w:b/>
          <w:bCs/>
          <w:color w:val="auto"/>
          <w:sz w:val="32"/>
          <w:szCs w:val="32"/>
        </w:rPr>
        <w:t>中小企业声明函（货物）（如有）</w:t>
      </w:r>
      <w:bookmarkEnd w:id="42"/>
    </w:p>
    <w:p>
      <w:pPr>
        <w:widowControl/>
        <w:spacing w:line="660" w:lineRule="exact"/>
        <w:ind w:firstLine="480"/>
        <w:jc w:val="left"/>
        <w:rPr>
          <w:rFonts w:ascii="宋体"/>
          <w:color w:val="auto"/>
          <w:sz w:val="24"/>
          <w:szCs w:val="24"/>
        </w:rPr>
      </w:pPr>
      <w:r>
        <w:rPr>
          <w:rFonts w:hint="eastAsia" w:ascii="宋体" w:hAnsi="宋体" w:cs="宋体"/>
          <w:color w:val="auto"/>
          <w:sz w:val="24"/>
          <w:szCs w:val="24"/>
        </w:rPr>
        <w:t>本公司（联合体）郑重声明，根据《政府采购促进中小企业发展管理办法》（财库﹝</w:t>
      </w:r>
      <w:r>
        <w:rPr>
          <w:rFonts w:ascii="宋体" w:hAnsi="宋体" w:cs="宋体"/>
          <w:color w:val="auto"/>
          <w:sz w:val="24"/>
          <w:szCs w:val="24"/>
        </w:rPr>
        <w:t>2020</w:t>
      </w:r>
      <w:r>
        <w:rPr>
          <w:rFonts w:hint="eastAsia" w:ascii="宋体" w:hAnsi="宋体" w:cs="宋体"/>
          <w:color w:val="auto"/>
          <w:sz w:val="24"/>
          <w:szCs w:val="24"/>
        </w:rPr>
        <w:t>﹞</w:t>
      </w:r>
      <w:r>
        <w:rPr>
          <w:rFonts w:ascii="宋体" w:hAnsi="宋体" w:cs="宋体"/>
          <w:color w:val="auto"/>
          <w:sz w:val="24"/>
          <w:szCs w:val="24"/>
        </w:rPr>
        <w:t xml:space="preserve">46 </w:t>
      </w:r>
      <w:r>
        <w:rPr>
          <w:rFonts w:hint="eastAsia" w:ascii="宋体" w:hAnsi="宋体" w:cs="宋体"/>
          <w:color w:val="auto"/>
          <w:sz w:val="24"/>
          <w:szCs w:val="24"/>
        </w:rPr>
        <w:t>号）的规定，本公司（联合体）参加</w:t>
      </w:r>
      <w:r>
        <w:rPr>
          <w:rFonts w:hint="eastAsia" w:ascii="宋体" w:hAnsi="宋体" w:cs="宋体"/>
          <w:b/>
          <w:bCs/>
          <w:color w:val="auto"/>
          <w:sz w:val="24"/>
          <w:szCs w:val="24"/>
          <w:u w:val="single"/>
        </w:rPr>
        <w:t>建湖县教育局</w:t>
      </w:r>
      <w:r>
        <w:rPr>
          <w:rFonts w:hint="eastAsia" w:ascii="宋体" w:hAnsi="宋体" w:cs="宋体"/>
          <w:color w:val="auto"/>
          <w:sz w:val="24"/>
          <w:szCs w:val="24"/>
        </w:rPr>
        <w:t>的</w:t>
      </w:r>
      <w:r>
        <w:rPr>
          <w:rFonts w:hint="eastAsia" w:ascii="宋体" w:hAnsi="宋体" w:cs="宋体"/>
          <w:b/>
          <w:bCs/>
          <w:color w:val="auto"/>
          <w:sz w:val="24"/>
          <w:szCs w:val="24"/>
          <w:u w:val="single"/>
        </w:rPr>
        <w:t>建湖县中高考相关考点广播独立双系统升级改造项目</w:t>
      </w:r>
      <w:r>
        <w:rPr>
          <w:rFonts w:hint="eastAsia" w:ascii="宋体" w:hAnsi="宋体" w:cs="宋体"/>
          <w:color w:val="auto"/>
          <w:sz w:val="24"/>
          <w:szCs w:val="24"/>
        </w:rPr>
        <w:t>采购活动，货物全部由符合政策要求的中小企业承接。相关企业（含联合体中的中小企业、签订分包意向协议的中小企业）的具体情况如下：</w:t>
      </w:r>
    </w:p>
    <w:p>
      <w:pPr>
        <w:widowControl/>
        <w:spacing w:line="660" w:lineRule="exact"/>
        <w:ind w:firstLine="482"/>
        <w:jc w:val="left"/>
        <w:rPr>
          <w:rFonts w:ascii="宋体"/>
          <w:color w:val="auto"/>
          <w:sz w:val="24"/>
          <w:szCs w:val="24"/>
          <w:u w:val="single"/>
        </w:rPr>
      </w:pPr>
      <w:r>
        <w:rPr>
          <w:rFonts w:hint="eastAsia" w:ascii="宋体" w:hAnsi="宋体" w:cs="宋体"/>
          <w:b/>
          <w:bCs/>
          <w:color w:val="auto"/>
          <w:sz w:val="24"/>
          <w:szCs w:val="24"/>
          <w:u w:val="single"/>
        </w:rPr>
        <w:t>建湖县中高考相关考点广播独立双系统升级改造项目</w:t>
      </w:r>
      <w:r>
        <w:rPr>
          <w:rFonts w:hint="eastAsia" w:ascii="宋体" w:hAnsi="宋体" w:cs="宋体"/>
          <w:color w:val="auto"/>
          <w:sz w:val="24"/>
          <w:szCs w:val="24"/>
        </w:rPr>
        <w:t>，属于</w:t>
      </w:r>
      <w:r>
        <w:rPr>
          <w:rFonts w:hint="eastAsia" w:ascii="宋体" w:hAnsi="宋体" w:cs="宋体"/>
          <w:color w:val="auto"/>
          <w:sz w:val="24"/>
          <w:szCs w:val="24"/>
          <w:u w:val="single"/>
        </w:rPr>
        <w:t>（所属行业）</w:t>
      </w:r>
      <w:r>
        <w:rPr>
          <w:rFonts w:hint="eastAsia" w:ascii="宋体" w:hAnsi="宋体" w:cs="宋体"/>
          <w:color w:val="auto"/>
          <w:sz w:val="24"/>
          <w:szCs w:val="24"/>
        </w:rPr>
        <w:t>；制造企业为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，从业人员人，营业收入为万元，资产总额为万元</w:t>
      </w:r>
      <w:r>
        <w:rPr>
          <w:rFonts w:ascii="宋体" w:hAnsi="宋体" w:cs="宋体"/>
          <w:color w:val="auto"/>
          <w:sz w:val="24"/>
          <w:szCs w:val="24"/>
          <w:vertAlign w:val="superscript"/>
        </w:rPr>
        <w:t>1</w:t>
      </w:r>
      <w:r>
        <w:rPr>
          <w:rFonts w:hint="eastAsia" w:ascii="宋体" w:hAnsi="宋体" w:cs="宋体"/>
          <w:color w:val="auto"/>
          <w:sz w:val="24"/>
          <w:szCs w:val="24"/>
        </w:rPr>
        <w:t>，属于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widowControl/>
        <w:spacing w:line="660" w:lineRule="exact"/>
        <w:ind w:firstLine="480"/>
        <w:jc w:val="left"/>
        <w:rPr>
          <w:rFonts w:ascii="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widowControl/>
        <w:spacing w:line="660" w:lineRule="exact"/>
        <w:ind w:firstLine="480"/>
        <w:jc w:val="left"/>
        <w:rPr>
          <w:rFonts w:ascii="宋体"/>
          <w:color w:val="auto"/>
          <w:sz w:val="24"/>
          <w:szCs w:val="24"/>
        </w:rPr>
      </w:pPr>
      <w:r>
        <w:rPr>
          <w:rFonts w:hint="eastAsia" w:ascii="宋体" w:hAnsi="宋体" w:cs="宋体"/>
          <w:color w:val="auto"/>
          <w:sz w:val="24"/>
          <w:szCs w:val="24"/>
        </w:rPr>
        <w:t>本企业对上述声明内容的真实性负责。如有虚假，将依法承担相应责任。</w:t>
      </w:r>
    </w:p>
    <w:p>
      <w:pPr>
        <w:widowControl/>
        <w:spacing w:before="627" w:line="660" w:lineRule="exact"/>
        <w:ind w:firstLine="480"/>
        <w:jc w:val="center"/>
        <w:rPr>
          <w:rFonts w:ascii="宋体"/>
          <w:color w:val="auto"/>
          <w:sz w:val="24"/>
          <w:szCs w:val="24"/>
        </w:rPr>
      </w:pPr>
      <w:r>
        <w:rPr>
          <w:rFonts w:hint="eastAsia" w:ascii="宋体" w:hAnsi="宋体" w:cs="宋体"/>
          <w:color w:val="auto"/>
          <w:sz w:val="24"/>
          <w:szCs w:val="24"/>
        </w:rPr>
        <w:t>企业名称（盖章）：</w:t>
      </w:r>
    </w:p>
    <w:p>
      <w:pPr>
        <w:widowControl/>
        <w:spacing w:before="156" w:line="660" w:lineRule="exact"/>
        <w:ind w:firstLine="3360"/>
        <w:jc w:val="left"/>
        <w:rPr>
          <w:rFonts w:ascii="宋体"/>
          <w:color w:val="auto"/>
          <w:sz w:val="24"/>
          <w:szCs w:val="24"/>
        </w:rPr>
      </w:pPr>
      <w:r>
        <w:rPr>
          <w:rFonts w:hint="eastAsia" w:ascii="宋体" w:hAnsi="宋体" w:cs="宋体"/>
          <w:color w:val="auto"/>
          <w:sz w:val="24"/>
          <w:szCs w:val="24"/>
        </w:rPr>
        <w:t>日期：</w:t>
      </w:r>
    </w:p>
    <w:p>
      <w:pPr>
        <w:widowControl/>
        <w:spacing w:line="480" w:lineRule="exact"/>
        <w:ind w:firstLine="480"/>
        <w:jc w:val="left"/>
        <w:rPr>
          <w:rFonts w:ascii="宋体"/>
          <w:color w:val="auto"/>
          <w:sz w:val="24"/>
          <w:szCs w:val="24"/>
        </w:rPr>
      </w:pPr>
    </w:p>
    <w:p>
      <w:pPr>
        <w:spacing w:line="480" w:lineRule="exact"/>
        <w:ind w:firstLine="480"/>
        <w:jc w:val="left"/>
        <w:rPr>
          <w:rFonts w:ascii="宋体"/>
          <w:color w:val="auto"/>
          <w:sz w:val="24"/>
          <w:szCs w:val="24"/>
        </w:rPr>
      </w:pPr>
      <w:r>
        <w:rPr>
          <w:rFonts w:hint="eastAsia" w:ascii="宋体" w:hAnsi="宋体" w:cs="宋体"/>
          <w:color w:val="auto"/>
          <w:sz w:val="24"/>
          <w:szCs w:val="24"/>
        </w:rPr>
        <w:t>注：</w:t>
      </w:r>
    </w:p>
    <w:p>
      <w:pPr>
        <w:numPr>
          <w:ilvl w:val="0"/>
          <w:numId w:val="3"/>
        </w:numPr>
        <w:spacing w:line="480" w:lineRule="exact"/>
        <w:ind w:firstLine="480"/>
        <w:rPr>
          <w:rFonts w:ascii="宋体" w:hAnsi="宋体"/>
          <w:color w:val="auto"/>
          <w:sz w:val="24"/>
          <w:szCs w:val="24"/>
        </w:rPr>
      </w:pPr>
      <w:r>
        <w:rPr>
          <w:rFonts w:ascii="宋体" w:hAnsi="宋体"/>
          <w:color w:val="auto"/>
          <w:sz w:val="24"/>
          <w:szCs w:val="24"/>
        </w:rPr>
        <w:t>供应商如不提供此声明函或不提供证明材料的，投标报价将不做相应扣除；</w:t>
      </w:r>
    </w:p>
    <w:p>
      <w:pPr>
        <w:numPr>
          <w:ilvl w:val="0"/>
          <w:numId w:val="0"/>
        </w:numPr>
        <w:spacing w:line="480" w:lineRule="exact"/>
        <w:ind w:firstLine="480"/>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从业人员、营业收入、资产总额填报上一年度数据，无上一年度数据的新成立企业可不填报。</w:t>
      </w:r>
    </w:p>
    <w:p>
      <w:pPr>
        <w:widowControl/>
        <w:spacing w:before="120" w:after="120" w:line="460" w:lineRule="exact"/>
        <w:ind w:firstLine="643"/>
        <w:outlineLvl w:val="0"/>
        <w:rPr>
          <w:rFonts w:ascii="宋体"/>
          <w:b/>
          <w:bCs/>
          <w:color w:val="auto"/>
          <w:sz w:val="32"/>
          <w:szCs w:val="32"/>
        </w:rPr>
      </w:pPr>
    </w:p>
    <w:p>
      <w:pPr>
        <w:pStyle w:val="42"/>
        <w:ind w:firstLine="480"/>
        <w:rPr>
          <w:rFonts w:ascii="宋体" w:cs="Calibri"/>
          <w:color w:val="auto"/>
        </w:rPr>
      </w:pPr>
    </w:p>
    <w:bookmarkEnd w:id="43"/>
    <w:p>
      <w:pPr>
        <w:pStyle w:val="42"/>
        <w:ind w:firstLine="480"/>
        <w:rPr>
          <w:rFonts w:ascii="宋体" w:cs="Calibri"/>
          <w:color w:val="auto"/>
        </w:rPr>
      </w:pPr>
    </w:p>
    <w:p>
      <w:pPr>
        <w:pStyle w:val="42"/>
        <w:ind w:firstLine="480"/>
        <w:rPr>
          <w:rFonts w:ascii="宋体" w:cs="Calibri"/>
          <w:color w:val="auto"/>
        </w:rPr>
      </w:pPr>
    </w:p>
    <w:p>
      <w:pPr>
        <w:spacing w:before="120" w:after="120" w:line="460" w:lineRule="exact"/>
        <w:ind w:firstLine="643"/>
        <w:jc w:val="center"/>
        <w:outlineLvl w:val="0"/>
        <w:rPr>
          <w:rFonts w:ascii="宋体"/>
          <w:b/>
          <w:bCs/>
          <w:color w:val="auto"/>
          <w:sz w:val="32"/>
          <w:szCs w:val="32"/>
        </w:rPr>
      </w:pPr>
      <w:bookmarkStart w:id="44" w:name="_Toc120519628"/>
      <w:bookmarkStart w:id="45" w:name="_Toc130206663"/>
    </w:p>
    <w:p>
      <w:pPr>
        <w:spacing w:before="120" w:after="120" w:line="460" w:lineRule="exact"/>
        <w:jc w:val="center"/>
        <w:outlineLvl w:val="0"/>
        <w:rPr>
          <w:rFonts w:ascii="宋体"/>
          <w:b/>
          <w:bCs/>
          <w:color w:val="auto"/>
          <w:sz w:val="32"/>
          <w:szCs w:val="32"/>
        </w:rPr>
      </w:pPr>
      <w:bookmarkStart w:id="46" w:name="_Toc130206662"/>
      <w:r>
        <w:rPr>
          <w:rFonts w:hint="eastAsia" w:ascii="宋体" w:hAnsi="宋体" w:cs="宋体"/>
          <w:b/>
          <w:bCs/>
          <w:color w:val="auto"/>
          <w:sz w:val="32"/>
          <w:szCs w:val="32"/>
        </w:rPr>
        <w:t>（十）残疾人福利性单位声明函（如有）</w:t>
      </w:r>
      <w:bookmarkEnd w:id="46"/>
    </w:p>
    <w:p>
      <w:pPr>
        <w:spacing w:line="588" w:lineRule="exact"/>
        <w:ind w:firstLine="480"/>
        <w:rPr>
          <w:rFonts w:ascii="宋体"/>
          <w:color w:val="auto"/>
          <w:sz w:val="24"/>
          <w:szCs w:val="24"/>
        </w:rPr>
      </w:pPr>
      <w:r>
        <w:rPr>
          <w:rFonts w:hint="eastAsia" w:ascii="宋体" w:hAnsi="宋体" w:cs="宋体"/>
          <w:color w:val="auto"/>
          <w:sz w:val="24"/>
          <w:szCs w:val="24"/>
        </w:rPr>
        <w:t>本单位郑重声明，根据《财政部</w:t>
      </w:r>
      <w:r>
        <w:rPr>
          <w:rFonts w:ascii="宋体" w:hAnsi="宋体" w:cs="宋体"/>
          <w:color w:val="auto"/>
          <w:sz w:val="24"/>
          <w:szCs w:val="24"/>
        </w:rPr>
        <w:t xml:space="preserve"> </w:t>
      </w:r>
      <w:r>
        <w:rPr>
          <w:rFonts w:hint="eastAsia" w:ascii="宋体" w:hAnsi="宋体" w:cs="宋体"/>
          <w:color w:val="auto"/>
          <w:sz w:val="24"/>
          <w:szCs w:val="24"/>
        </w:rPr>
        <w:t>民政部</w:t>
      </w:r>
      <w:r>
        <w:rPr>
          <w:rFonts w:ascii="宋体" w:hAnsi="宋体" w:cs="宋体"/>
          <w:color w:val="auto"/>
          <w:sz w:val="24"/>
          <w:szCs w:val="24"/>
        </w:rPr>
        <w:t xml:space="preserve"> </w:t>
      </w:r>
      <w:r>
        <w:rPr>
          <w:rFonts w:hint="eastAsia" w:ascii="宋体" w:hAnsi="宋体" w:cs="宋体"/>
          <w:color w:val="auto"/>
          <w:sz w:val="24"/>
          <w:szCs w:val="24"/>
        </w:rPr>
        <w:t>中国残疾人联合会关于促进残疾人就业政府采购政策的通知》（财库〔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 xml:space="preserve"> 141</w:t>
      </w:r>
      <w:r>
        <w:rPr>
          <w:rFonts w:hint="eastAsia" w:ascii="宋体" w:hAnsi="宋体" w:cs="宋体"/>
          <w:color w:val="auto"/>
          <w:sz w:val="24"/>
          <w:szCs w:val="24"/>
        </w:rPr>
        <w:t>号）的规定，本单位为符合条件的残疾人福利性单位，且本单位参加</w:t>
      </w:r>
      <w:r>
        <w:rPr>
          <w:rFonts w:ascii="宋体" w:hAnsi="宋体" w:cs="宋体"/>
          <w:color w:val="auto"/>
          <w:sz w:val="24"/>
          <w:szCs w:val="24"/>
        </w:rPr>
        <w:t>______</w:t>
      </w:r>
      <w:r>
        <w:rPr>
          <w:rFonts w:hint="eastAsia" w:ascii="宋体" w:hAnsi="宋体" w:cs="宋体"/>
          <w:color w:val="auto"/>
          <w:sz w:val="24"/>
          <w:szCs w:val="24"/>
        </w:rPr>
        <w:t>单位的采购文件编号为</w:t>
      </w:r>
      <w:r>
        <w:rPr>
          <w:rFonts w:ascii="宋体" w:hAnsi="宋体" w:cs="宋体"/>
          <w:color w:val="auto"/>
          <w:sz w:val="24"/>
          <w:szCs w:val="24"/>
        </w:rPr>
        <w:t>______</w:t>
      </w:r>
      <w:r>
        <w:rPr>
          <w:rFonts w:hint="eastAsia" w:ascii="宋体" w:hAnsi="宋体" w:cs="宋体"/>
          <w:color w:val="auto"/>
          <w:sz w:val="24"/>
          <w:szCs w:val="24"/>
        </w:rPr>
        <w:t>的</w:t>
      </w:r>
      <w:r>
        <w:rPr>
          <w:rFonts w:ascii="宋体" w:hAnsi="宋体" w:cs="宋体"/>
          <w:color w:val="auto"/>
          <w:sz w:val="24"/>
          <w:szCs w:val="24"/>
          <w:u w:val="single"/>
        </w:rPr>
        <w:t xml:space="preserve">       </w:t>
      </w:r>
      <w:r>
        <w:rPr>
          <w:rFonts w:hint="eastAsia" w:ascii="宋体" w:hAnsi="宋体" w:cs="宋体"/>
          <w:color w:val="auto"/>
          <w:sz w:val="24"/>
          <w:szCs w:val="24"/>
        </w:rPr>
        <w:t>项目采购活动提供本单位制造的货物（由本单位承担工程</w:t>
      </w:r>
      <w:r>
        <w:rPr>
          <w:rFonts w:ascii="宋体" w:hAnsi="宋体" w:cs="宋体"/>
          <w:color w:val="auto"/>
          <w:sz w:val="24"/>
          <w:szCs w:val="24"/>
        </w:rPr>
        <w:t>/</w:t>
      </w:r>
      <w:r>
        <w:rPr>
          <w:rFonts w:hint="eastAsia" w:ascii="宋体" w:hAnsi="宋体" w:cs="宋体"/>
          <w:color w:val="auto"/>
          <w:sz w:val="24"/>
          <w:szCs w:val="24"/>
        </w:rPr>
        <w:t>提供服务），或者提供其他残疾人福利性单位制造的货物（不包括使用非残疾人福利性单位注册商标的货物）。</w:t>
      </w:r>
    </w:p>
    <w:p>
      <w:pPr>
        <w:spacing w:line="588" w:lineRule="exact"/>
        <w:ind w:firstLine="480"/>
        <w:rPr>
          <w:rFonts w:ascii="宋体"/>
          <w:color w:val="auto"/>
          <w:sz w:val="24"/>
          <w:szCs w:val="24"/>
        </w:rPr>
      </w:pPr>
      <w:r>
        <w:rPr>
          <w:rFonts w:hint="eastAsia" w:ascii="宋体" w:hAnsi="宋体" w:cs="宋体"/>
          <w:color w:val="auto"/>
          <w:sz w:val="24"/>
          <w:szCs w:val="24"/>
        </w:rPr>
        <w:t>本单位在本次政府采购活动中提供的残疾人福利单位产品报价合计为人民币（大写）</w:t>
      </w:r>
      <w:r>
        <w:rPr>
          <w:rFonts w:ascii="宋体" w:hAnsi="宋体" w:cs="宋体"/>
          <w:color w:val="auto"/>
          <w:sz w:val="24"/>
          <w:szCs w:val="24"/>
          <w:u w:val="single"/>
        </w:rPr>
        <w:t xml:space="preserve">      </w:t>
      </w:r>
      <w:r>
        <w:rPr>
          <w:rFonts w:hint="eastAsia" w:ascii="宋体" w:hAnsi="宋体" w:cs="宋体"/>
          <w:color w:val="auto"/>
          <w:sz w:val="24"/>
          <w:szCs w:val="24"/>
        </w:rPr>
        <w:t>圆整（</w:t>
      </w:r>
      <w:r>
        <w:rPr>
          <w:rFonts w:hint="eastAsia" w:asci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w:t>
      </w:r>
    </w:p>
    <w:p>
      <w:pPr>
        <w:spacing w:line="588" w:lineRule="exact"/>
        <w:ind w:firstLine="480"/>
        <w:rPr>
          <w:rFonts w:ascii="宋体"/>
          <w:color w:val="auto"/>
          <w:sz w:val="24"/>
          <w:szCs w:val="24"/>
        </w:rPr>
      </w:pPr>
      <w:r>
        <w:rPr>
          <w:rFonts w:hint="eastAsia" w:ascii="宋体" w:hAnsi="宋体" w:cs="宋体"/>
          <w:color w:val="auto"/>
          <w:sz w:val="24"/>
          <w:szCs w:val="24"/>
        </w:rPr>
        <w:t>本单位对上述声明的真实性负责。如有虚假，将依法承担相应责任。</w:t>
      </w:r>
    </w:p>
    <w:p>
      <w:pPr>
        <w:spacing w:line="588" w:lineRule="exact"/>
        <w:ind w:firstLine="480"/>
        <w:rPr>
          <w:rFonts w:ascii="宋体"/>
          <w:color w:val="auto"/>
          <w:sz w:val="24"/>
          <w:szCs w:val="24"/>
        </w:rPr>
      </w:pPr>
    </w:p>
    <w:p>
      <w:pPr>
        <w:spacing w:line="588" w:lineRule="exact"/>
        <w:ind w:firstLine="480"/>
        <w:rPr>
          <w:rFonts w:ascii="宋体"/>
          <w:color w:val="auto"/>
          <w:sz w:val="24"/>
          <w:szCs w:val="24"/>
        </w:rPr>
      </w:pPr>
    </w:p>
    <w:p>
      <w:pPr>
        <w:spacing w:line="588" w:lineRule="exact"/>
        <w:ind w:firstLine="480"/>
        <w:rPr>
          <w:rFonts w:ascii="宋体"/>
          <w:color w:val="auto"/>
          <w:sz w:val="24"/>
          <w:szCs w:val="24"/>
        </w:rPr>
      </w:pPr>
    </w:p>
    <w:p>
      <w:pPr>
        <w:spacing w:line="588" w:lineRule="exact"/>
        <w:ind w:firstLine="480"/>
        <w:rPr>
          <w:rFonts w:hint="eastAsia" w:ascii="宋体" w:hAnsi="宋体" w:cs="宋体"/>
          <w:color w:val="auto"/>
          <w:sz w:val="24"/>
          <w:szCs w:val="24"/>
        </w:rPr>
      </w:pPr>
      <w:r>
        <w:rPr>
          <w:rFonts w:hint="eastAsia" w:ascii="宋体" w:hAnsi="宋体" w:cs="宋体"/>
          <w:color w:val="auto"/>
          <w:sz w:val="24"/>
          <w:szCs w:val="24"/>
        </w:rPr>
        <w:t>（备注：</w:t>
      </w:r>
      <w:r>
        <w:rPr>
          <w:rFonts w:ascii="宋体" w:hAnsi="宋体" w:cs="宋体"/>
          <w:color w:val="auto"/>
          <w:sz w:val="24"/>
          <w:szCs w:val="24"/>
        </w:rPr>
        <w:t>1</w:t>
      </w:r>
      <w:r>
        <w:rPr>
          <w:rFonts w:hint="eastAsia" w:ascii="宋体" w:hAnsi="宋体" w:cs="宋体"/>
          <w:color w:val="auto"/>
          <w:sz w:val="24"/>
          <w:szCs w:val="24"/>
        </w:rPr>
        <w:t>、供应商如不提供此声明函，价格将不做相应扣除。</w:t>
      </w:r>
    </w:p>
    <w:p>
      <w:pPr>
        <w:spacing w:line="588" w:lineRule="exac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、中标供应商为残疾人福利单位的，此声明函将随中标结果同时公告，接受社会监督）</w:t>
      </w:r>
    </w:p>
    <w:p>
      <w:pPr>
        <w:spacing w:line="588" w:lineRule="exact"/>
        <w:ind w:firstLine="624"/>
        <w:rPr>
          <w:rFonts w:ascii="宋体"/>
          <w:color w:val="auto"/>
          <w:spacing w:val="6"/>
          <w:sz w:val="30"/>
          <w:szCs w:val="30"/>
        </w:rPr>
      </w:pPr>
    </w:p>
    <w:p>
      <w:pPr>
        <w:spacing w:line="588" w:lineRule="exact"/>
        <w:ind w:firstLine="624"/>
        <w:rPr>
          <w:rFonts w:ascii="宋体"/>
          <w:color w:val="auto"/>
          <w:spacing w:val="6"/>
          <w:sz w:val="30"/>
          <w:szCs w:val="30"/>
        </w:rPr>
      </w:pPr>
    </w:p>
    <w:p>
      <w:pPr>
        <w:spacing w:line="588" w:lineRule="exact"/>
        <w:ind w:firstLine="624"/>
        <w:rPr>
          <w:rFonts w:ascii="宋体"/>
          <w:color w:val="auto"/>
          <w:spacing w:val="6"/>
          <w:sz w:val="30"/>
          <w:szCs w:val="30"/>
        </w:rPr>
      </w:pPr>
    </w:p>
    <w:p>
      <w:pPr>
        <w:spacing w:line="560" w:lineRule="exact"/>
        <w:ind w:firstLine="645"/>
        <w:rPr>
          <w:rFonts w:ascii="宋体"/>
          <w:color w:val="auto"/>
          <w:sz w:val="24"/>
          <w:szCs w:val="24"/>
        </w:rPr>
      </w:pPr>
      <w:r>
        <w:rPr>
          <w:rFonts w:ascii="宋体" w:hAnsi="宋体" w:cs="宋体"/>
          <w:color w:val="auto"/>
          <w:spacing w:val="6"/>
          <w:sz w:val="30"/>
          <w:szCs w:val="30"/>
        </w:rPr>
        <w:t xml:space="preserve">             </w:t>
      </w:r>
      <w:r>
        <w:rPr>
          <w:rFonts w:ascii="宋体" w:hAnsi="宋体" w:cs="宋体"/>
          <w:color w:val="auto"/>
          <w:sz w:val="24"/>
          <w:szCs w:val="24"/>
        </w:rPr>
        <w:t xml:space="preserve">                    </w:t>
      </w:r>
    </w:p>
    <w:p>
      <w:pPr>
        <w:pStyle w:val="116"/>
        <w:spacing w:before="0" w:after="0" w:line="420" w:lineRule="exact"/>
        <w:ind w:left="420" w:firstLine="482"/>
        <w:jc w:val="center"/>
        <w:rPr>
          <w:rFonts w:ascii="宋体" w:cs="Calibri"/>
          <w:b/>
          <w:bCs/>
          <w:color w:val="auto"/>
        </w:rPr>
      </w:pPr>
      <w:r>
        <w:rPr>
          <w:rFonts w:ascii="宋体" w:hAnsi="宋体" w:cs="宋体"/>
          <w:b/>
          <w:bCs/>
          <w:color w:val="auto"/>
        </w:rPr>
        <w:t xml:space="preserve">                                   </w:t>
      </w:r>
      <w:r>
        <w:rPr>
          <w:rFonts w:hint="eastAsia" w:ascii="宋体" w:hAnsi="宋体" w:cs="宋体"/>
          <w:color w:val="auto"/>
        </w:rPr>
        <w:t>授权代表亲笔签名：</w:t>
      </w:r>
      <w:r>
        <w:rPr>
          <w:rFonts w:ascii="宋体" w:hAnsi="宋体" w:cs="宋体"/>
          <w:b/>
          <w:bCs/>
          <w:color w:val="auto"/>
        </w:rPr>
        <w:t xml:space="preserve"> </w:t>
      </w:r>
    </w:p>
    <w:p>
      <w:pPr>
        <w:jc w:val="center"/>
        <w:rPr>
          <w:rFonts w:ascii="宋体"/>
          <w:color w:val="auto"/>
        </w:rPr>
      </w:pPr>
    </w:p>
    <w:p>
      <w:pPr>
        <w:pStyle w:val="116"/>
        <w:spacing w:before="0" w:after="0" w:line="420" w:lineRule="exact"/>
        <w:ind w:left="420"/>
        <w:jc w:val="center"/>
        <w:rPr>
          <w:rFonts w:ascii="宋体" w:cs="Calibri"/>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before="120" w:after="120" w:line="460" w:lineRule="exact"/>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r>
        <w:rPr>
          <w:rFonts w:hint="eastAsia" w:ascii="宋体" w:hAnsi="宋体" w:cs="宋体"/>
          <w:b/>
          <w:bCs/>
          <w:color w:val="auto"/>
          <w:sz w:val="32"/>
          <w:szCs w:val="32"/>
        </w:rPr>
        <w:t>（十一）清单报价表</w:t>
      </w:r>
      <w:bookmarkEnd w:id="44"/>
      <w:bookmarkEnd w:id="45"/>
    </w:p>
    <w:p>
      <w:pPr>
        <w:widowControl/>
        <w:spacing w:line="480" w:lineRule="exact"/>
        <w:jc w:val="left"/>
        <w:rPr>
          <w:rFonts w:ascii="宋体"/>
          <w:color w:val="auto"/>
          <w:sz w:val="24"/>
          <w:szCs w:val="24"/>
        </w:rPr>
      </w:pPr>
      <w:r>
        <w:rPr>
          <w:rFonts w:hint="eastAsia" w:ascii="宋体" w:hAnsi="宋体" w:cs="宋体"/>
          <w:color w:val="auto"/>
          <w:sz w:val="24"/>
          <w:szCs w:val="24"/>
        </w:rPr>
        <w:t>采购人：</w:t>
      </w:r>
      <w:r>
        <w:rPr>
          <w:rFonts w:hint="eastAsia" w:ascii="宋体" w:hAnsi="宋体" w:cs="宋体"/>
          <w:color w:val="auto"/>
          <w:sz w:val="24"/>
          <w:szCs w:val="24"/>
          <w:u w:val="single"/>
        </w:rPr>
        <w:t>建湖县教育局</w:t>
      </w:r>
    </w:p>
    <w:p>
      <w:pPr>
        <w:widowControl/>
        <w:spacing w:line="480" w:lineRule="exact"/>
        <w:ind w:firstLine="480"/>
        <w:jc w:val="left"/>
        <w:rPr>
          <w:rFonts w:ascii="宋体"/>
          <w:color w:val="auto"/>
          <w:sz w:val="24"/>
          <w:szCs w:val="24"/>
        </w:rPr>
      </w:pPr>
      <w:r>
        <w:rPr>
          <w:rFonts w:hint="eastAsia" w:ascii="宋体" w:hAnsi="宋体" w:cs="宋体"/>
          <w:color w:val="auto"/>
          <w:sz w:val="24"/>
          <w:szCs w:val="24"/>
        </w:rPr>
        <w:t>我单位愿意按照招标文件的要求和下面的报价提供所需货物和服务，并保证货物和服务质量。</w:t>
      </w:r>
      <w:r>
        <w:rPr>
          <w:rFonts w:ascii="宋体" w:hAnsi="宋体" w:cs="宋体"/>
          <w:color w:val="auto"/>
          <w:sz w:val="24"/>
          <w:szCs w:val="24"/>
        </w:rPr>
        <w:t xml:space="preserve">                                                   </w:t>
      </w:r>
      <w:r>
        <w:rPr>
          <w:rFonts w:hint="eastAsia" w:ascii="宋体" w:hAnsi="宋体" w:cs="宋体"/>
          <w:color w:val="auto"/>
          <w:sz w:val="24"/>
          <w:szCs w:val="24"/>
        </w:rPr>
        <w:t>单位：人民币元</w:t>
      </w:r>
    </w:p>
    <w:p>
      <w:pPr>
        <w:pStyle w:val="2"/>
        <w:rPr>
          <w:rFonts w:ascii="宋体"/>
          <w:color w:val="auto"/>
          <w:sz w:val="24"/>
          <w:szCs w:val="24"/>
        </w:rPr>
      </w:pPr>
    </w:p>
    <w:tbl>
      <w:tblPr>
        <w:tblStyle w:val="43"/>
        <w:tblW w:w="9464" w:type="dxa"/>
        <w:tblInd w:w="2" w:type="dxa"/>
        <w:tblLayout w:type="fixed"/>
        <w:tblCellMar>
          <w:top w:w="0" w:type="dxa"/>
          <w:left w:w="108" w:type="dxa"/>
          <w:bottom w:w="0" w:type="dxa"/>
          <w:right w:w="108" w:type="dxa"/>
        </w:tblCellMar>
      </w:tblPr>
      <w:tblGrid>
        <w:gridCol w:w="780"/>
        <w:gridCol w:w="2765"/>
        <w:gridCol w:w="1228"/>
        <w:gridCol w:w="818"/>
        <w:gridCol w:w="859"/>
        <w:gridCol w:w="764"/>
        <w:gridCol w:w="804"/>
        <w:gridCol w:w="1446"/>
      </w:tblGrid>
      <w:tr>
        <w:tblPrEx>
          <w:tblCellMar>
            <w:top w:w="0" w:type="dxa"/>
            <w:left w:w="108" w:type="dxa"/>
            <w:bottom w:w="0" w:type="dxa"/>
            <w:right w:w="108" w:type="dxa"/>
          </w:tblCellMar>
        </w:tblPrEx>
        <w:trPr>
          <w:trHeight w:val="311" w:hRule="atLeast"/>
        </w:trPr>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序号</w:t>
            </w:r>
          </w:p>
        </w:tc>
        <w:tc>
          <w:tcPr>
            <w:tcW w:w="2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4"/>
                <w:szCs w:val="24"/>
              </w:rPr>
            </w:pPr>
            <w:r>
              <w:rPr>
                <w:rFonts w:hint="eastAsia" w:ascii="宋体" w:hAnsi="宋体" w:cs="宋体"/>
                <w:color w:val="auto"/>
                <w:sz w:val="24"/>
                <w:szCs w:val="24"/>
              </w:rPr>
              <w:t>设备名称</w:t>
            </w:r>
          </w:p>
        </w:tc>
        <w:tc>
          <w:tcPr>
            <w:tcW w:w="12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技术要求</w:t>
            </w:r>
          </w:p>
        </w:tc>
        <w:tc>
          <w:tcPr>
            <w:tcW w:w="8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单位</w:t>
            </w:r>
          </w:p>
        </w:tc>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数量</w:t>
            </w:r>
          </w:p>
        </w:tc>
        <w:tc>
          <w:tcPr>
            <w:tcW w:w="76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单价</w:t>
            </w:r>
          </w:p>
        </w:tc>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小计</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4"/>
                <w:szCs w:val="24"/>
              </w:rPr>
            </w:pPr>
            <w:r>
              <w:rPr>
                <w:rFonts w:hint="eastAsia" w:ascii="宋体" w:hAnsi="宋体" w:cs="宋体"/>
                <w:color w:val="auto"/>
                <w:sz w:val="24"/>
                <w:szCs w:val="24"/>
              </w:rPr>
              <w:t>所投品牌及型号</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前置放大器</w:t>
            </w:r>
          </w:p>
        </w:tc>
        <w:tc>
          <w:tcPr>
            <w:tcW w:w="12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详见招标文件第三章</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CD</w:t>
            </w:r>
            <w:r>
              <w:rPr>
                <w:rFonts w:hint="eastAsia" w:ascii="宋体" w:hAnsi="宋体" w:cs="宋体"/>
                <w:color w:val="auto"/>
                <w:sz w:val="20"/>
                <w:szCs w:val="20"/>
              </w:rPr>
              <w:t>播放器</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音频采集器</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4</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电源管理器</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5</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机柜</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6</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终端</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7</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网络终端嵌入软件</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8</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寻呼话筒</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9</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话筒呼叫控制嵌入软件</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10</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数字功放</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11</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网络功放终端</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37</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12</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w:t>
            </w:r>
            <w:r>
              <w:rPr>
                <w:rFonts w:ascii="宋体" w:hAnsi="宋体" w:cs="宋体"/>
                <w:color w:val="auto"/>
                <w:sz w:val="20"/>
                <w:szCs w:val="20"/>
              </w:rPr>
              <w:t>IP</w:t>
            </w:r>
            <w:r>
              <w:rPr>
                <w:rFonts w:hint="eastAsia" w:ascii="宋体" w:hAnsi="宋体" w:cs="宋体"/>
                <w:color w:val="auto"/>
                <w:sz w:val="20"/>
                <w:szCs w:val="20"/>
              </w:rPr>
              <w:t>网络平台终端嵌入软件</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37</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13</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网络音箱</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283</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14</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网络终端嵌入软件</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283</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15</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主备功放切换器</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16</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color w:val="auto"/>
                <w:sz w:val="20"/>
                <w:szCs w:val="20"/>
              </w:rPr>
            </w:pPr>
            <w:r>
              <w:rPr>
                <w:rFonts w:hint="eastAsia" w:ascii="宋体" w:hAnsi="宋体" w:cs="宋体"/>
                <w:b/>
                <w:bCs/>
                <w:color w:val="auto"/>
                <w:sz w:val="20"/>
                <w:szCs w:val="20"/>
              </w:rPr>
              <w:t>控制主机</w:t>
            </w:r>
            <w:r>
              <w:rPr>
                <w:rFonts w:ascii="宋体" w:hAnsi="宋体" w:cs="宋体"/>
                <w:b/>
                <w:bCs/>
                <w:color w:val="auto"/>
                <w:sz w:val="20"/>
                <w:szCs w:val="20"/>
              </w:rPr>
              <w:t>(</w:t>
            </w:r>
            <w:r>
              <w:rPr>
                <w:rFonts w:hint="eastAsia" w:ascii="宋体" w:hAnsi="宋体" w:cs="宋体"/>
                <w:b/>
                <w:bCs/>
                <w:color w:val="auto"/>
                <w:sz w:val="20"/>
                <w:szCs w:val="20"/>
              </w:rPr>
              <w:t>核心产品</w:t>
            </w:r>
            <w:r>
              <w:rPr>
                <w:rFonts w:ascii="宋体" w:hAnsi="宋体" w:cs="宋体"/>
                <w:b/>
                <w:bCs/>
                <w:color w:val="auto"/>
                <w:sz w:val="20"/>
                <w:szCs w:val="20"/>
              </w:rPr>
              <w:t>)</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17</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网络音箱</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18</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IP</w:t>
            </w:r>
            <w:r>
              <w:rPr>
                <w:rFonts w:hint="eastAsia" w:ascii="宋体" w:hAnsi="宋体" w:cs="宋体"/>
                <w:color w:val="auto"/>
                <w:sz w:val="20"/>
                <w:szCs w:val="20"/>
              </w:rPr>
              <w:t>有源音箱扩声软件</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19</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数字化</w:t>
            </w:r>
            <w:r>
              <w:rPr>
                <w:rFonts w:ascii="宋体" w:hAnsi="宋体" w:cs="宋体"/>
                <w:color w:val="auto"/>
                <w:sz w:val="20"/>
                <w:szCs w:val="20"/>
              </w:rPr>
              <w:t>IP</w:t>
            </w:r>
            <w:r>
              <w:rPr>
                <w:rFonts w:hint="eastAsia" w:ascii="宋体" w:hAnsi="宋体" w:cs="宋体"/>
                <w:color w:val="auto"/>
                <w:sz w:val="20"/>
                <w:szCs w:val="20"/>
              </w:rPr>
              <w:t>网络广播客户端管理软件</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20</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校时设备</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21</w:t>
            </w:r>
          </w:p>
        </w:tc>
        <w:tc>
          <w:tcPr>
            <w:tcW w:w="2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UPS</w:t>
            </w:r>
            <w:r>
              <w:rPr>
                <w:rFonts w:hint="eastAsia" w:ascii="宋体" w:hAnsi="宋体" w:cs="宋体"/>
                <w:color w:val="auto"/>
                <w:sz w:val="20"/>
                <w:szCs w:val="20"/>
              </w:rPr>
              <w:t>主机</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22</w:t>
            </w:r>
          </w:p>
        </w:tc>
        <w:tc>
          <w:tcPr>
            <w:tcW w:w="2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蓄电池</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节</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96</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23</w:t>
            </w:r>
          </w:p>
        </w:tc>
        <w:tc>
          <w:tcPr>
            <w:tcW w:w="2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电池柜</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6</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24</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12</w:t>
            </w:r>
            <w:r>
              <w:rPr>
                <w:rFonts w:hint="eastAsia" w:ascii="宋体" w:hAnsi="宋体" w:cs="宋体"/>
                <w:color w:val="auto"/>
                <w:sz w:val="20"/>
                <w:szCs w:val="20"/>
              </w:rPr>
              <w:t>路调音台</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25</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有线话筒</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26</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24</w:t>
            </w:r>
            <w:r>
              <w:rPr>
                <w:rFonts w:hint="eastAsia" w:ascii="宋体" w:hAnsi="宋体" w:cs="宋体"/>
                <w:color w:val="auto"/>
                <w:sz w:val="20"/>
                <w:szCs w:val="20"/>
              </w:rPr>
              <w:t>口交换机</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27</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8</w:t>
            </w:r>
            <w:r>
              <w:rPr>
                <w:rFonts w:hint="eastAsia" w:ascii="宋体" w:hAnsi="宋体" w:cs="宋体"/>
                <w:color w:val="auto"/>
                <w:sz w:val="20"/>
                <w:szCs w:val="20"/>
              </w:rPr>
              <w:t>口交换机</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30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28</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室外单模光纤</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米</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5000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29</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光纤收发器</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15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30</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网线</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米</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20000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31</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音箱线</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米</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8000</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32</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辅材</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ascii="宋体" w:hAnsi="宋体" w:cs="宋体"/>
                <w:color w:val="auto"/>
                <w:sz w:val="20"/>
                <w:szCs w:val="20"/>
              </w:rPr>
              <w:t>33</w:t>
            </w:r>
          </w:p>
        </w:tc>
        <w:tc>
          <w:tcPr>
            <w:tcW w:w="2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auto"/>
                <w:sz w:val="20"/>
                <w:szCs w:val="20"/>
              </w:rPr>
            </w:pPr>
            <w:r>
              <w:rPr>
                <w:rFonts w:hint="eastAsia" w:ascii="宋体" w:hAnsi="宋体" w:cs="宋体"/>
                <w:color w:val="auto"/>
                <w:sz w:val="20"/>
                <w:szCs w:val="20"/>
              </w:rPr>
              <w:t>运维服务</w:t>
            </w: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0"/>
                <w:szCs w:val="20"/>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hint="eastAsia" w:ascii="宋体" w:hAnsi="宋体" w:cs="宋体"/>
                <w:color w:val="auto"/>
                <w:sz w:val="20"/>
                <w:szCs w:val="20"/>
              </w:rPr>
              <w:t>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olor w:val="auto"/>
                <w:sz w:val="20"/>
                <w:szCs w:val="20"/>
              </w:rPr>
            </w:pPr>
            <w:r>
              <w:rPr>
                <w:rFonts w:ascii="宋体" w:hAnsi="宋体" w:cs="宋体"/>
                <w:color w:val="auto"/>
                <w:sz w:val="20"/>
                <w:szCs w:val="20"/>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0"/>
                <w:szCs w:val="20"/>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4"/>
                <w:szCs w:val="24"/>
              </w:rPr>
            </w:pPr>
          </w:p>
        </w:tc>
        <w:tc>
          <w:tcPr>
            <w:tcW w:w="399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olor w:val="auto"/>
                <w:sz w:val="24"/>
                <w:szCs w:val="24"/>
              </w:rPr>
            </w:pPr>
            <w:r>
              <w:rPr>
                <w:rFonts w:hint="eastAsia" w:ascii="宋体" w:hAnsi="宋体" w:cs="宋体"/>
                <w:color w:val="auto"/>
                <w:sz w:val="20"/>
                <w:szCs w:val="20"/>
              </w:rPr>
              <w:t>合计（小写）</w:t>
            </w:r>
          </w:p>
        </w:tc>
        <w:tc>
          <w:tcPr>
            <w:tcW w:w="4691"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b/>
                <w:bCs/>
                <w:color w:val="auto"/>
                <w:sz w:val="24"/>
                <w:szCs w:val="24"/>
              </w:rPr>
            </w:pP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olor w:val="auto"/>
                <w:sz w:val="24"/>
                <w:szCs w:val="24"/>
              </w:rPr>
            </w:pPr>
          </w:p>
        </w:tc>
        <w:tc>
          <w:tcPr>
            <w:tcW w:w="399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olor w:val="auto"/>
                <w:sz w:val="24"/>
                <w:szCs w:val="24"/>
              </w:rPr>
            </w:pPr>
            <w:r>
              <w:rPr>
                <w:rFonts w:hint="eastAsia" w:ascii="宋体" w:hAnsi="宋体" w:cs="宋体"/>
                <w:color w:val="auto"/>
                <w:sz w:val="20"/>
                <w:szCs w:val="20"/>
              </w:rPr>
              <w:t>合计（大写）</w:t>
            </w:r>
          </w:p>
        </w:tc>
        <w:tc>
          <w:tcPr>
            <w:tcW w:w="4691"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b/>
                <w:bCs/>
                <w:color w:val="auto"/>
                <w:sz w:val="24"/>
                <w:szCs w:val="24"/>
              </w:rPr>
            </w:pPr>
          </w:p>
        </w:tc>
      </w:tr>
    </w:tbl>
    <w:p>
      <w:pPr>
        <w:pStyle w:val="2"/>
        <w:rPr>
          <w:rFonts w:ascii="宋体"/>
          <w:color w:val="auto"/>
          <w:sz w:val="24"/>
          <w:szCs w:val="24"/>
        </w:rPr>
      </w:pPr>
    </w:p>
    <w:p>
      <w:pPr>
        <w:spacing w:line="360" w:lineRule="auto"/>
        <w:ind w:firstLine="480"/>
        <w:rPr>
          <w:rFonts w:ascii="宋体"/>
          <w:color w:val="auto"/>
          <w:sz w:val="24"/>
          <w:szCs w:val="24"/>
        </w:rPr>
      </w:pPr>
      <w:bookmarkStart w:id="47" w:name="_Toc120519629"/>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投标报价应是招标文件所确定招标范围内全部工作内容的价格体现，投标人的报价应包括所投产品（含相关附配件、软件）费用、包装费、运输费、装卸费、安装调试费、测试费、培训费、验收费、质量保修期内维保费、售后服务费、投标费用、税金、各类风险费、管理费、利润、招标代理费及其他有关的为完成本项目发生的所有费用，对投标人认为没有考虑到的费用项目采购人将不予支付，并认为此项费用已包含在投标报价中；</w:t>
      </w:r>
    </w:p>
    <w:p>
      <w:pPr>
        <w:spacing w:line="360" w:lineRule="auto"/>
        <w:ind w:firstLine="480"/>
        <w:rPr>
          <w:rFonts w:ascii="宋体"/>
          <w:color w:val="auto"/>
          <w:sz w:val="24"/>
          <w:szCs w:val="24"/>
        </w:rPr>
      </w:pPr>
      <w:r>
        <w:rPr>
          <w:rFonts w:ascii="宋体" w:hAnsi="宋体" w:cs="宋体"/>
          <w:color w:val="auto"/>
          <w:sz w:val="24"/>
          <w:szCs w:val="24"/>
        </w:rPr>
        <w:t>2</w:t>
      </w:r>
      <w:r>
        <w:rPr>
          <w:rFonts w:ascii="宋体" w:cs="宋体"/>
          <w:color w:val="auto"/>
          <w:sz w:val="24"/>
          <w:szCs w:val="24"/>
        </w:rPr>
        <w:t>.</w:t>
      </w:r>
      <w:r>
        <w:rPr>
          <w:rFonts w:hint="eastAsia" w:ascii="宋体" w:hAnsi="宋体" w:cs="宋体"/>
          <w:color w:val="auto"/>
          <w:sz w:val="24"/>
          <w:szCs w:val="24"/>
        </w:rPr>
        <w:t>本项目提供相同品牌核心产品（清单第</w:t>
      </w:r>
      <w:r>
        <w:rPr>
          <w:rFonts w:ascii="宋体" w:hAnsi="宋体" w:cs="宋体"/>
          <w:color w:val="auto"/>
          <w:sz w:val="24"/>
          <w:szCs w:val="24"/>
        </w:rPr>
        <w:t>16</w:t>
      </w:r>
      <w:r>
        <w:rPr>
          <w:rFonts w:hint="eastAsia" w:ascii="宋体" w:hAnsi="宋体" w:cs="宋体"/>
          <w:color w:val="auto"/>
          <w:sz w:val="24"/>
          <w:szCs w:val="24"/>
        </w:rPr>
        <w:t>项：控制主机）且通过资格审查、符合性审查的不同投标人按一家投标人计算，评审后得分最高的同品牌投标人获得中标人推荐资格；评审得分相同的，按投标报价由低到高排列；得分且投标报价相同的并列，投标文件满足招标文件全部实质性要求，且按照评审因素的量化指标评审得分最高得投标人为排名第一的中标候选人。</w:t>
      </w:r>
    </w:p>
    <w:p>
      <w:pPr>
        <w:widowControl/>
        <w:spacing w:line="480" w:lineRule="exact"/>
        <w:ind w:firstLine="480"/>
        <w:jc w:val="left"/>
        <w:rPr>
          <w:rFonts w:ascii="宋体"/>
          <w:color w:val="auto"/>
          <w:sz w:val="24"/>
          <w:szCs w:val="24"/>
        </w:rPr>
      </w:pPr>
      <w:r>
        <w:rPr>
          <w:rFonts w:ascii="宋体" w:hAnsi="宋体" w:cs="宋体"/>
          <w:color w:val="auto"/>
          <w:sz w:val="24"/>
          <w:szCs w:val="24"/>
        </w:rPr>
        <w:t>3</w:t>
      </w:r>
      <w:r>
        <w:rPr>
          <w:rFonts w:ascii="宋体" w:cs="宋体"/>
          <w:color w:val="auto"/>
          <w:sz w:val="24"/>
          <w:szCs w:val="24"/>
        </w:rPr>
        <w:t>.</w:t>
      </w:r>
      <w:r>
        <w:rPr>
          <w:rFonts w:hint="eastAsia" w:ascii="宋体" w:hAnsi="宋体" w:cs="宋体"/>
          <w:color w:val="auto"/>
          <w:sz w:val="24"/>
          <w:szCs w:val="24"/>
        </w:rPr>
        <w:t>本项目采购预算价为</w:t>
      </w:r>
      <w:r>
        <w:rPr>
          <w:rFonts w:ascii="宋体" w:hAnsi="宋体" w:cs="宋体"/>
          <w:color w:val="auto"/>
          <w:sz w:val="24"/>
          <w:szCs w:val="24"/>
        </w:rPr>
        <w:t>240</w:t>
      </w:r>
      <w:r>
        <w:rPr>
          <w:rFonts w:hint="eastAsia" w:ascii="宋体" w:hAnsi="宋体" w:cs="宋体"/>
          <w:color w:val="auto"/>
          <w:sz w:val="24"/>
          <w:szCs w:val="24"/>
        </w:rPr>
        <w:t>万元，高于该预算价的作无效标论处。</w:t>
      </w:r>
    </w:p>
    <w:p>
      <w:pPr>
        <w:spacing w:line="360" w:lineRule="auto"/>
        <w:ind w:firstLine="480"/>
        <w:rPr>
          <w:rFonts w:ascii="宋体"/>
          <w:color w:val="auto"/>
          <w:sz w:val="24"/>
          <w:szCs w:val="24"/>
        </w:rPr>
      </w:pPr>
    </w:p>
    <w:p>
      <w:pPr>
        <w:spacing w:line="360" w:lineRule="auto"/>
        <w:ind w:firstLine="480"/>
        <w:rPr>
          <w:rFonts w:ascii="宋体"/>
          <w:color w:val="auto"/>
          <w:sz w:val="24"/>
          <w:szCs w:val="24"/>
        </w:rPr>
      </w:pPr>
      <w:r>
        <w:rPr>
          <w:rFonts w:hint="eastAsia" w:ascii="宋体" w:hAnsi="宋体" w:cs="宋体"/>
          <w:color w:val="auto"/>
          <w:sz w:val="24"/>
          <w:szCs w:val="24"/>
        </w:rPr>
        <w:t>投标单位：</w:t>
      </w:r>
      <w:r>
        <w:rPr>
          <w:rFonts w:ascii="宋体" w:hAnsi="宋体" w:cs="宋体"/>
          <w:color w:val="auto"/>
          <w:sz w:val="24"/>
          <w:szCs w:val="24"/>
        </w:rPr>
        <w:t xml:space="preserve">   </w:t>
      </w:r>
      <w:r>
        <w:rPr>
          <w:rFonts w:hint="eastAsia" w:ascii="宋体" w:hAnsi="宋体" w:cs="宋体"/>
          <w:color w:val="auto"/>
          <w:sz w:val="24"/>
          <w:szCs w:val="24"/>
        </w:rPr>
        <w:t>（公章）</w:t>
      </w:r>
    </w:p>
    <w:p>
      <w:pPr>
        <w:spacing w:line="360" w:lineRule="auto"/>
        <w:ind w:firstLine="480"/>
        <w:rPr>
          <w:rFonts w:ascii="宋体"/>
          <w:color w:val="auto"/>
          <w:sz w:val="24"/>
          <w:szCs w:val="24"/>
        </w:rPr>
      </w:pPr>
    </w:p>
    <w:p>
      <w:pPr>
        <w:spacing w:line="360" w:lineRule="auto"/>
        <w:ind w:firstLine="480"/>
        <w:rPr>
          <w:rFonts w:ascii="宋体"/>
          <w:color w:val="auto"/>
          <w:sz w:val="24"/>
          <w:szCs w:val="24"/>
        </w:rPr>
      </w:pPr>
      <w:r>
        <w:rPr>
          <w:rFonts w:hint="eastAsia" w:ascii="宋体" w:hAnsi="宋体" w:cs="宋体"/>
          <w:color w:val="auto"/>
          <w:sz w:val="24"/>
          <w:szCs w:val="24"/>
        </w:rPr>
        <w:t>法定代表人或代理人：</w:t>
      </w:r>
      <w:r>
        <w:rPr>
          <w:rFonts w:ascii="宋体" w:hAnsi="宋体" w:cs="宋体"/>
          <w:color w:val="auto"/>
          <w:sz w:val="24"/>
          <w:szCs w:val="24"/>
        </w:rPr>
        <w:t xml:space="preserve"> </w:t>
      </w:r>
      <w:r>
        <w:rPr>
          <w:rFonts w:hint="eastAsia" w:ascii="宋体" w:hAnsi="宋体" w:cs="宋体"/>
          <w:color w:val="auto"/>
          <w:sz w:val="24"/>
          <w:szCs w:val="24"/>
        </w:rPr>
        <w:t>（签字或盖章）</w:t>
      </w:r>
    </w:p>
    <w:p>
      <w:pPr>
        <w:pStyle w:val="42"/>
        <w:ind w:left="0" w:right="480" w:firstLine="480"/>
        <w:rPr>
          <w:rFonts w:ascii="宋体" w:cs="Calibri"/>
          <w:color w:val="auto"/>
        </w:rPr>
      </w:pPr>
    </w:p>
    <w:p>
      <w:pPr>
        <w:pStyle w:val="42"/>
        <w:ind w:left="0" w:right="480" w:firstLine="480"/>
        <w:rPr>
          <w:rFonts w:ascii="宋体" w:cs="Calibri"/>
          <w:color w:val="auto"/>
        </w:rPr>
      </w:pPr>
      <w:r>
        <w:rPr>
          <w:rFonts w:hint="eastAsia" w:ascii="宋体" w:hAnsi="宋体" w:cs="宋体"/>
          <w:color w:val="auto"/>
        </w:rPr>
        <w:t>日期：</w:t>
      </w: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pStyle w:val="42"/>
        <w:ind w:left="0" w:right="480" w:firstLine="480"/>
        <w:rPr>
          <w:rFonts w:ascii="宋体" w:cs="Calibri"/>
          <w:color w:val="auto"/>
        </w:rPr>
      </w:pPr>
    </w:p>
    <w:p>
      <w:pPr>
        <w:spacing w:before="120" w:after="120" w:line="460" w:lineRule="exact"/>
        <w:ind w:firstLine="643"/>
        <w:jc w:val="center"/>
        <w:outlineLvl w:val="0"/>
        <w:rPr>
          <w:rFonts w:ascii="宋体"/>
          <w:b/>
          <w:bCs/>
          <w:color w:val="auto"/>
          <w:sz w:val="32"/>
          <w:szCs w:val="32"/>
        </w:rPr>
      </w:pPr>
      <w:bookmarkStart w:id="48" w:name="_Toc130206666"/>
      <w:r>
        <w:rPr>
          <w:rFonts w:hint="eastAsia" w:ascii="宋体" w:hAnsi="宋体" w:cs="宋体"/>
          <w:b/>
          <w:bCs/>
          <w:color w:val="auto"/>
          <w:sz w:val="32"/>
          <w:szCs w:val="32"/>
        </w:rPr>
        <w:t>（十二）技术响应表</w:t>
      </w:r>
      <w:bookmarkEnd w:id="47"/>
      <w:bookmarkEnd w:id="48"/>
    </w:p>
    <w:tbl>
      <w:tblPr>
        <w:tblStyle w:val="43"/>
        <w:tblW w:w="0" w:type="auto"/>
        <w:tblInd w:w="2"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74"/>
        <w:gridCol w:w="2587"/>
        <w:gridCol w:w="2268"/>
        <w:gridCol w:w="2126"/>
        <w:gridCol w:w="141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66"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rPr>
            </w:pPr>
            <w:r>
              <w:rPr>
                <w:rFonts w:hint="eastAsia" w:ascii="宋体" w:hAnsi="宋体" w:cs="宋体"/>
                <w:color w:val="auto"/>
              </w:rPr>
              <w:t>序号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rPr>
            </w:pPr>
            <w:r>
              <w:rPr>
                <w:rFonts w:hint="eastAsia" w:ascii="宋体" w:hAnsi="宋体" w:cs="宋体"/>
                <w:color w:val="auto"/>
              </w:rPr>
              <w:t>项目内容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rPr>
            </w:pPr>
            <w:r>
              <w:rPr>
                <w:rFonts w:hint="eastAsia" w:ascii="宋体" w:hAnsi="宋体" w:cs="宋体"/>
                <w:color w:val="auto"/>
              </w:rPr>
              <w:t>招标文件技术要求</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rPr>
            </w:pPr>
            <w:r>
              <w:rPr>
                <w:rFonts w:hint="eastAsia" w:ascii="宋体" w:hAnsi="宋体" w:cs="宋体"/>
                <w:color w:val="auto"/>
              </w:rPr>
              <w:t>投标技术指标(不得完全复制，并且必须逐条对应招标文件技术要求)</w:t>
            </w: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rPr>
            </w:pPr>
            <w:r>
              <w:rPr>
                <w:rFonts w:hint="eastAsia" w:ascii="宋体" w:hAnsi="宋体" w:cs="宋体"/>
                <w:color w:val="auto"/>
              </w:rPr>
              <w:t>偏离情况</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color w:val="auto"/>
                <w:sz w:val="24"/>
                <w:szCs w:val="24"/>
              </w:rPr>
            </w:pPr>
          </w:p>
        </w:tc>
        <w:tc>
          <w:tcPr>
            <w:tcW w:w="1417"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color w:val="auto"/>
                <w:sz w:val="24"/>
                <w:szCs w:val="24"/>
              </w:rPr>
            </w:pPr>
          </w:p>
        </w:tc>
      </w:tr>
    </w:tbl>
    <w:p>
      <w:pPr>
        <w:tabs>
          <w:tab w:val="left" w:pos="0"/>
        </w:tabs>
        <w:spacing w:line="480" w:lineRule="exact"/>
        <w:rPr>
          <w:rFonts w:ascii="宋体"/>
          <w:color w:val="auto"/>
          <w:sz w:val="24"/>
          <w:szCs w:val="24"/>
        </w:rPr>
      </w:pPr>
      <w:r>
        <w:rPr>
          <w:rFonts w:hint="eastAsia" w:ascii="宋体" w:hAnsi="宋体" w:cs="宋体"/>
          <w:color w:val="auto"/>
          <w:sz w:val="24"/>
          <w:szCs w:val="24"/>
        </w:rPr>
        <w:t>注：</w:t>
      </w:r>
    </w:p>
    <w:p>
      <w:pPr>
        <w:spacing w:line="520" w:lineRule="exact"/>
        <w:ind w:left="2"/>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人应根据投标服务的指标、对照招标文件要求在“偏离情况”栏注明“正偏离”或“无偏离”，投标人按照自身实际服务能力填写投标技术参数要求，所有技术参数要求必须在此表体现，不接受其他形式的投标技术响应说明；投标技术参数要求不得低于招标文件要求的技术参数，未填写投标技术参数要求及达不到技术参数要求的按本项目评分标准中技术符合性的约定作相应处理。</w:t>
      </w:r>
    </w:p>
    <w:p>
      <w:pPr>
        <w:tabs>
          <w:tab w:val="left" w:pos="0"/>
        </w:tabs>
        <w:spacing w:line="480" w:lineRule="exac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投标人如在投标过程中提供虚假材料谋取中标成交的或采取不正当手段诋毁、排挤其他供应商的</w:t>
      </w:r>
      <w:r>
        <w:rPr>
          <w:rFonts w:ascii="宋体" w:cs="宋体"/>
          <w:color w:val="auto"/>
          <w:sz w:val="24"/>
          <w:szCs w:val="24"/>
        </w:rPr>
        <w:t>,</w:t>
      </w:r>
      <w:r>
        <w:rPr>
          <w:rFonts w:hint="eastAsia" w:ascii="宋体" w:hAnsi="宋体" w:cs="宋体"/>
          <w:color w:val="auto"/>
          <w:sz w:val="24"/>
          <w:szCs w:val="24"/>
        </w:rPr>
        <w:t>将承担相应法律责任。</w:t>
      </w:r>
    </w:p>
    <w:p>
      <w:pPr>
        <w:widowControl/>
        <w:spacing w:line="480" w:lineRule="exact"/>
        <w:ind w:firstLine="480"/>
        <w:jc w:val="left"/>
        <w:rPr>
          <w:rFonts w:ascii="宋体"/>
          <w:color w:val="auto"/>
          <w:sz w:val="24"/>
          <w:szCs w:val="24"/>
        </w:rPr>
      </w:pPr>
    </w:p>
    <w:p>
      <w:pPr>
        <w:widowControl/>
        <w:spacing w:line="480" w:lineRule="exact"/>
        <w:ind w:firstLine="480"/>
        <w:jc w:val="left"/>
        <w:rPr>
          <w:rFonts w:ascii="宋体"/>
          <w:color w:val="auto"/>
          <w:sz w:val="24"/>
          <w:szCs w:val="24"/>
          <w:u w:val="single"/>
        </w:rPr>
      </w:pPr>
      <w:r>
        <w:rPr>
          <w:rFonts w:hint="eastAsia" w:ascii="宋体" w:hAnsi="宋体" w:cs="宋体"/>
          <w:color w:val="auto"/>
          <w:sz w:val="24"/>
          <w:szCs w:val="24"/>
        </w:rPr>
        <w:t>法定代表人或委托代理人</w:t>
      </w:r>
      <w:r>
        <w:rPr>
          <w:rFonts w:hint="eastAsia" w:ascii="宋体" w:hAnsi="宋体" w:cs="宋体"/>
          <w:color w:val="auto"/>
        </w:rPr>
        <w:t>：</w:t>
      </w:r>
      <w:r>
        <w:rPr>
          <w:rFonts w:hint="eastAsia" w:ascii="宋体" w:hAnsi="宋体" w:cs="宋体"/>
          <w:color w:val="auto"/>
          <w:sz w:val="24"/>
          <w:szCs w:val="24"/>
        </w:rPr>
        <w:t>（盖章或签字）</w:t>
      </w:r>
    </w:p>
    <w:p>
      <w:pPr>
        <w:spacing w:before="100" w:beforeAutospacing="1" w:after="100" w:afterAutospacing="1" w:line="480" w:lineRule="exact"/>
        <w:ind w:firstLine="480"/>
        <w:rPr>
          <w:rFonts w:ascii="宋体"/>
          <w:color w:val="auto"/>
          <w:sz w:val="24"/>
          <w:szCs w:val="24"/>
        </w:rPr>
      </w:pPr>
      <w:r>
        <w:rPr>
          <w:rFonts w:hint="eastAsia" w:ascii="宋体" w:hAnsi="宋体" w:cs="宋体"/>
          <w:color w:val="auto"/>
          <w:sz w:val="24"/>
          <w:szCs w:val="24"/>
        </w:rPr>
        <w:t>投标单位：（全称并加盖公章）</w:t>
      </w:r>
    </w:p>
    <w:p>
      <w:pPr>
        <w:pStyle w:val="250"/>
        <w:ind w:right="-351" w:firstLine="482"/>
        <w:rPr>
          <w:rFonts w:ascii="宋体" w:cs="Calibri"/>
          <w:color w:val="auto"/>
        </w:rPr>
      </w:pPr>
    </w:p>
    <w:p>
      <w:pPr>
        <w:spacing w:line="460" w:lineRule="exact"/>
        <w:ind w:firstLine="480"/>
        <w:jc w:val="right"/>
        <w:rPr>
          <w:rFonts w:ascii="宋体"/>
          <w:b/>
          <w:bCs/>
          <w:color w:val="auto"/>
        </w:rPr>
      </w:pPr>
      <w:bookmarkStart w:id="49" w:name="_Toc120519630"/>
      <w:bookmarkStart w:id="50" w:name="_Toc120519836"/>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bookmarkEnd w:id="49"/>
      <w:bookmarkEnd w:id="50"/>
    </w:p>
    <w:p>
      <w:pPr>
        <w:spacing w:before="120" w:after="120" w:line="460" w:lineRule="exact"/>
        <w:jc w:val="center"/>
        <w:outlineLvl w:val="0"/>
        <w:rPr>
          <w:rFonts w:hint="eastAsia" w:ascii="宋体" w:hAnsi="宋体" w:cs="宋体"/>
          <w:b/>
          <w:bCs/>
          <w:color w:val="auto"/>
          <w:sz w:val="32"/>
          <w:szCs w:val="32"/>
        </w:rPr>
      </w:pPr>
      <w:bookmarkStart w:id="51" w:name="_Toc120519631"/>
      <w:bookmarkStart w:id="52" w:name="_Toc130206667"/>
    </w:p>
    <w:p>
      <w:pPr>
        <w:spacing w:before="120" w:after="120" w:line="460" w:lineRule="exact"/>
        <w:jc w:val="both"/>
        <w:outlineLvl w:val="0"/>
        <w:rPr>
          <w:rFonts w:ascii="宋体"/>
          <w:b/>
          <w:bCs/>
          <w:color w:val="auto"/>
          <w:sz w:val="32"/>
          <w:szCs w:val="32"/>
        </w:rPr>
      </w:pPr>
      <w:r>
        <w:rPr>
          <w:rFonts w:hint="eastAsia" w:ascii="宋体" w:hAnsi="宋体" w:cs="宋体"/>
          <w:b/>
          <w:bCs/>
          <w:color w:val="auto"/>
          <w:sz w:val="32"/>
          <w:szCs w:val="32"/>
        </w:rPr>
        <w:t>（十三）具备履行合同所必需的设备和专业技术能力的声明函</w:t>
      </w:r>
      <w:bookmarkEnd w:id="51"/>
      <w:bookmarkEnd w:id="52"/>
    </w:p>
    <w:p>
      <w:pPr>
        <w:spacing w:line="600" w:lineRule="exact"/>
        <w:ind w:firstLine="480"/>
        <w:rPr>
          <w:rFonts w:ascii="宋体"/>
          <w:color w:val="auto"/>
          <w:sz w:val="24"/>
          <w:szCs w:val="24"/>
        </w:rPr>
      </w:pPr>
      <w:r>
        <w:rPr>
          <w:rFonts w:hint="eastAsia" w:ascii="宋体" w:hAnsi="宋体" w:cs="宋体"/>
          <w:color w:val="auto"/>
          <w:sz w:val="24"/>
          <w:szCs w:val="24"/>
        </w:rPr>
        <w:t>我方郑重声明：我方具备履行本项采购合同所必需的设备和专业技术能力，为履行本项采购合同我方具备如下主要设备和主要专业技术能力：</w:t>
      </w:r>
    </w:p>
    <w:p>
      <w:pPr>
        <w:spacing w:line="600" w:lineRule="exact"/>
        <w:ind w:firstLine="480"/>
        <w:rPr>
          <w:rFonts w:ascii="宋体"/>
          <w:color w:val="auto"/>
          <w:sz w:val="24"/>
          <w:szCs w:val="24"/>
          <w:u w:val="single"/>
        </w:rPr>
      </w:pPr>
      <w:r>
        <w:rPr>
          <w:rFonts w:hint="eastAsia" w:ascii="宋体" w:hAnsi="宋体" w:cs="宋体"/>
          <w:color w:val="auto"/>
          <w:sz w:val="24"/>
          <w:szCs w:val="24"/>
        </w:rPr>
        <w:t>主要设备有：</w:t>
      </w:r>
    </w:p>
    <w:p>
      <w:pPr>
        <w:spacing w:line="600" w:lineRule="exact"/>
        <w:ind w:firstLine="480"/>
        <w:rPr>
          <w:rFonts w:ascii="宋体"/>
          <w:color w:val="auto"/>
          <w:sz w:val="24"/>
          <w:szCs w:val="24"/>
        </w:rPr>
      </w:pPr>
      <w:r>
        <w:rPr>
          <w:rFonts w:hint="eastAsia" w:ascii="宋体" w:hAnsi="宋体" w:cs="宋体"/>
          <w:color w:val="auto"/>
          <w:sz w:val="24"/>
          <w:szCs w:val="24"/>
        </w:rPr>
        <w:t>主要专业技术能力有：</w:t>
      </w:r>
    </w:p>
    <w:p>
      <w:pPr>
        <w:spacing w:line="600" w:lineRule="exact"/>
        <w:rPr>
          <w:rFonts w:ascii="宋体"/>
          <w:color w:val="auto"/>
          <w:sz w:val="24"/>
          <w:szCs w:val="24"/>
        </w:rPr>
      </w:pPr>
    </w:p>
    <w:p>
      <w:pPr>
        <w:spacing w:line="600" w:lineRule="exact"/>
        <w:rPr>
          <w:rFonts w:ascii="宋体"/>
          <w:color w:val="auto"/>
          <w:sz w:val="24"/>
          <w:szCs w:val="24"/>
        </w:rPr>
      </w:pPr>
    </w:p>
    <w:p>
      <w:pPr>
        <w:spacing w:line="460" w:lineRule="exact"/>
        <w:ind w:firstLine="480"/>
        <w:rPr>
          <w:rFonts w:ascii="宋体"/>
          <w:color w:val="auto"/>
          <w:sz w:val="24"/>
          <w:szCs w:val="24"/>
        </w:rPr>
      </w:pPr>
    </w:p>
    <w:p>
      <w:pPr>
        <w:spacing w:line="460" w:lineRule="exact"/>
        <w:ind w:firstLine="480"/>
        <w:rPr>
          <w:rFonts w:ascii="宋体"/>
          <w:color w:val="auto"/>
          <w:sz w:val="24"/>
          <w:szCs w:val="24"/>
        </w:rPr>
      </w:pPr>
    </w:p>
    <w:p>
      <w:pPr>
        <w:spacing w:line="460" w:lineRule="exact"/>
        <w:ind w:firstLine="480"/>
        <w:rPr>
          <w:rFonts w:ascii="宋体"/>
          <w:color w:val="auto"/>
          <w:sz w:val="24"/>
          <w:szCs w:val="24"/>
        </w:rPr>
      </w:pPr>
    </w:p>
    <w:p>
      <w:pPr>
        <w:spacing w:line="460" w:lineRule="exact"/>
        <w:ind w:firstLine="480"/>
        <w:rPr>
          <w:rFonts w:ascii="宋体"/>
          <w:color w:val="auto"/>
          <w:sz w:val="24"/>
          <w:szCs w:val="24"/>
        </w:rPr>
      </w:pPr>
      <w:r>
        <w:rPr>
          <w:rFonts w:hint="eastAsia" w:ascii="宋体" w:hAnsi="宋体" w:cs="宋体"/>
          <w:color w:val="auto"/>
          <w:sz w:val="24"/>
          <w:szCs w:val="24"/>
        </w:rPr>
        <w:t>供应商名称（公章）：</w:t>
      </w:r>
    </w:p>
    <w:p>
      <w:pPr>
        <w:spacing w:line="460" w:lineRule="exact"/>
        <w:ind w:firstLine="480"/>
        <w:rPr>
          <w:rFonts w:ascii="宋体"/>
          <w:color w:val="auto"/>
          <w:sz w:val="24"/>
          <w:szCs w:val="24"/>
        </w:rPr>
      </w:pPr>
    </w:p>
    <w:p>
      <w:pPr>
        <w:spacing w:line="460" w:lineRule="exact"/>
        <w:ind w:firstLine="480"/>
        <w:jc w:val="right"/>
        <w:rPr>
          <w:rFonts w:ascii="宋体"/>
          <w:color w:val="auto"/>
          <w:sz w:val="24"/>
          <w:szCs w:val="24"/>
        </w:rPr>
      </w:pPr>
      <w:bookmarkStart w:id="53" w:name="_Toc120519632"/>
      <w:bookmarkStart w:id="54" w:name="_Toc120519838"/>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bookmarkEnd w:id="53"/>
      <w:bookmarkEnd w:id="54"/>
    </w:p>
    <w:p>
      <w:pPr>
        <w:pStyle w:val="17"/>
        <w:ind w:firstLine="723"/>
        <w:rPr>
          <w:rFonts w:ascii="宋体" w:cs="Calibri"/>
          <w:b/>
          <w:bCs/>
          <w:color w:val="auto"/>
          <w:sz w:val="36"/>
          <w:szCs w:val="36"/>
        </w:rPr>
      </w:pPr>
    </w:p>
    <w:p>
      <w:pPr>
        <w:widowControl/>
        <w:spacing w:line="320" w:lineRule="atLeast"/>
        <w:ind w:firstLine="723"/>
        <w:jc w:val="center"/>
        <w:rPr>
          <w:rFonts w:ascii="宋体"/>
          <w:b/>
          <w:bCs/>
          <w:color w:val="auto"/>
          <w:sz w:val="36"/>
          <w:szCs w:val="36"/>
        </w:rPr>
      </w:pPr>
    </w:p>
    <w:p>
      <w:pPr>
        <w:widowControl/>
        <w:spacing w:line="320" w:lineRule="atLeast"/>
        <w:ind w:firstLine="723"/>
        <w:jc w:val="center"/>
        <w:rPr>
          <w:rFonts w:ascii="宋体"/>
          <w:b/>
          <w:bCs/>
          <w:color w:val="auto"/>
          <w:sz w:val="36"/>
          <w:szCs w:val="36"/>
        </w:rPr>
      </w:pPr>
    </w:p>
    <w:p>
      <w:pPr>
        <w:spacing w:line="480" w:lineRule="exact"/>
        <w:ind w:firstLine="723"/>
        <w:jc w:val="center"/>
        <w:rPr>
          <w:rFonts w:ascii="宋体"/>
          <w:b/>
          <w:bCs/>
          <w:color w:val="auto"/>
          <w:sz w:val="36"/>
          <w:szCs w:val="36"/>
        </w:rPr>
      </w:pPr>
    </w:p>
    <w:p>
      <w:pPr>
        <w:spacing w:line="480" w:lineRule="exact"/>
        <w:ind w:firstLine="723"/>
        <w:jc w:val="center"/>
        <w:rPr>
          <w:rFonts w:ascii="宋体"/>
          <w:b/>
          <w:bCs/>
          <w:color w:val="auto"/>
          <w:sz w:val="36"/>
          <w:szCs w:val="36"/>
        </w:rPr>
      </w:pPr>
    </w:p>
    <w:p>
      <w:pPr>
        <w:spacing w:line="480" w:lineRule="exact"/>
        <w:ind w:firstLine="723"/>
        <w:jc w:val="center"/>
        <w:rPr>
          <w:rFonts w:ascii="宋体"/>
          <w:b/>
          <w:bCs/>
          <w:color w:val="auto"/>
          <w:sz w:val="36"/>
          <w:szCs w:val="36"/>
        </w:rPr>
      </w:pPr>
    </w:p>
    <w:p>
      <w:pPr>
        <w:spacing w:line="480" w:lineRule="exact"/>
        <w:ind w:firstLine="723"/>
        <w:jc w:val="center"/>
        <w:rPr>
          <w:rFonts w:ascii="宋体"/>
          <w:b/>
          <w:bCs/>
          <w:color w:val="auto"/>
          <w:sz w:val="36"/>
          <w:szCs w:val="36"/>
        </w:rPr>
      </w:pPr>
    </w:p>
    <w:p>
      <w:pPr>
        <w:spacing w:line="480" w:lineRule="exact"/>
        <w:ind w:firstLine="723"/>
        <w:jc w:val="center"/>
        <w:rPr>
          <w:rFonts w:ascii="宋体"/>
          <w:b/>
          <w:bCs/>
          <w:color w:val="auto"/>
          <w:sz w:val="36"/>
          <w:szCs w:val="36"/>
        </w:rPr>
      </w:pPr>
    </w:p>
    <w:p>
      <w:pPr>
        <w:spacing w:line="480" w:lineRule="exact"/>
        <w:ind w:firstLine="723"/>
        <w:jc w:val="center"/>
        <w:rPr>
          <w:rFonts w:ascii="宋体"/>
          <w:b/>
          <w:bCs/>
          <w:color w:val="auto"/>
          <w:sz w:val="36"/>
          <w:szCs w:val="36"/>
        </w:rPr>
      </w:pPr>
    </w:p>
    <w:p>
      <w:pPr>
        <w:pStyle w:val="250"/>
        <w:ind w:right="-351" w:firstLine="482"/>
        <w:rPr>
          <w:rFonts w:ascii="宋体" w:cs="Calibri"/>
          <w:color w:val="auto"/>
        </w:rPr>
      </w:pPr>
    </w:p>
    <w:p>
      <w:pPr>
        <w:pStyle w:val="250"/>
        <w:ind w:right="-351" w:firstLine="482"/>
        <w:rPr>
          <w:rFonts w:ascii="宋体" w:cs="Calibri"/>
          <w:color w:val="auto"/>
        </w:rPr>
      </w:pPr>
    </w:p>
    <w:p>
      <w:pPr>
        <w:pStyle w:val="250"/>
        <w:ind w:right="-351" w:firstLine="482"/>
        <w:rPr>
          <w:rFonts w:ascii="宋体" w:cs="Calibri"/>
          <w:color w:val="auto"/>
        </w:rPr>
      </w:pPr>
    </w:p>
    <w:p>
      <w:pPr>
        <w:pStyle w:val="250"/>
        <w:ind w:right="-351" w:firstLine="482"/>
        <w:rPr>
          <w:rFonts w:ascii="宋体" w:cs="Calibri"/>
          <w:color w:val="auto"/>
        </w:rPr>
      </w:pPr>
    </w:p>
    <w:p>
      <w:pPr>
        <w:pStyle w:val="250"/>
        <w:ind w:right="-351" w:firstLine="482"/>
        <w:rPr>
          <w:rFonts w:ascii="宋体" w:cs="Calibri"/>
          <w:color w:val="auto"/>
        </w:rPr>
      </w:pPr>
    </w:p>
    <w:p>
      <w:pPr>
        <w:spacing w:before="120" w:after="120" w:line="460" w:lineRule="exact"/>
        <w:ind w:firstLine="643"/>
        <w:jc w:val="center"/>
        <w:outlineLvl w:val="0"/>
        <w:rPr>
          <w:rFonts w:ascii="宋体"/>
          <w:b/>
          <w:bCs/>
          <w:color w:val="auto"/>
          <w:sz w:val="32"/>
          <w:szCs w:val="32"/>
        </w:rPr>
      </w:pPr>
      <w:bookmarkStart w:id="55" w:name="_Toc120519635"/>
      <w:bookmarkStart w:id="56" w:name="_Toc130206668"/>
      <w:r>
        <w:rPr>
          <w:rFonts w:hint="eastAsia" w:ascii="宋体" w:hAnsi="宋体" w:cs="宋体"/>
          <w:b/>
          <w:bCs/>
          <w:color w:val="auto"/>
          <w:sz w:val="32"/>
          <w:szCs w:val="32"/>
        </w:rPr>
        <w:t>（十四）服务承诺书</w:t>
      </w:r>
      <w:bookmarkEnd w:id="55"/>
      <w:bookmarkEnd w:id="56"/>
    </w:p>
    <w:p>
      <w:pPr>
        <w:spacing w:line="480" w:lineRule="exact"/>
        <w:ind w:firstLine="480"/>
        <w:rPr>
          <w:rFonts w:ascii="宋体"/>
          <w:color w:val="auto"/>
          <w:sz w:val="24"/>
          <w:szCs w:val="24"/>
        </w:rPr>
      </w:pPr>
    </w:p>
    <w:tbl>
      <w:tblPr>
        <w:tblStyle w:val="43"/>
        <w:tblW w:w="9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7"/>
        <w:gridCol w:w="6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1" w:hRule="atLeast"/>
          <w:jc w:val="center"/>
        </w:trPr>
        <w:tc>
          <w:tcPr>
            <w:tcW w:w="2137" w:type="dxa"/>
            <w:noWrap w:val="0"/>
            <w:vAlign w:val="center"/>
          </w:tcPr>
          <w:p>
            <w:pPr>
              <w:tabs>
                <w:tab w:val="left" w:pos="0"/>
              </w:tabs>
              <w:spacing w:line="480" w:lineRule="exact"/>
              <w:jc w:val="center"/>
              <w:rPr>
                <w:rFonts w:ascii="宋体"/>
                <w:color w:val="auto"/>
                <w:sz w:val="24"/>
                <w:szCs w:val="24"/>
              </w:rPr>
            </w:pPr>
            <w:r>
              <w:rPr>
                <w:rFonts w:hint="eastAsia" w:ascii="宋体" w:hAnsi="宋体" w:cs="宋体"/>
                <w:color w:val="auto"/>
                <w:sz w:val="24"/>
                <w:szCs w:val="24"/>
              </w:rPr>
              <w:t>服务</w:t>
            </w:r>
          </w:p>
          <w:p>
            <w:pPr>
              <w:tabs>
                <w:tab w:val="left" w:pos="0"/>
              </w:tabs>
              <w:spacing w:line="480" w:lineRule="exact"/>
              <w:jc w:val="center"/>
              <w:rPr>
                <w:rFonts w:ascii="宋体"/>
                <w:color w:val="auto"/>
                <w:sz w:val="24"/>
                <w:szCs w:val="24"/>
              </w:rPr>
            </w:pPr>
            <w:r>
              <w:rPr>
                <w:rFonts w:hint="eastAsia" w:ascii="宋体" w:hAnsi="宋体" w:cs="宋体"/>
                <w:color w:val="auto"/>
                <w:sz w:val="24"/>
                <w:szCs w:val="24"/>
              </w:rPr>
              <w:t>内容</w:t>
            </w:r>
          </w:p>
        </w:tc>
        <w:tc>
          <w:tcPr>
            <w:tcW w:w="6918" w:type="dxa"/>
            <w:noWrap w:val="0"/>
          </w:tcPr>
          <w:p>
            <w:pPr>
              <w:spacing w:line="460" w:lineRule="exact"/>
              <w:ind w:firstLine="48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严格按照采购人的委托要求独立开展服务工作，并保证及时高质量完成采购人交办任务。供应商不得将本合同的全部或部分转包给第三方。</w:t>
            </w:r>
          </w:p>
          <w:p>
            <w:pPr>
              <w:spacing w:line="460" w:lineRule="exact"/>
              <w:ind w:firstLine="48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供应商向采购人提交的所有成果，知识产权归采购人所有。</w:t>
            </w:r>
          </w:p>
          <w:p>
            <w:pPr>
              <w:spacing w:line="460" w:lineRule="exact"/>
              <w:ind w:firstLine="48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采购人有权对供应商工作实施监管，并按照合同的约定对供应商随时提出工作要求，供应商应当接受。</w:t>
            </w:r>
          </w:p>
          <w:p>
            <w:pPr>
              <w:tabs>
                <w:tab w:val="left" w:pos="0"/>
              </w:tabs>
              <w:spacing w:line="480" w:lineRule="exact"/>
              <w:rPr>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6" w:hRule="atLeast"/>
          <w:jc w:val="center"/>
        </w:trPr>
        <w:tc>
          <w:tcPr>
            <w:tcW w:w="2137" w:type="dxa"/>
            <w:noWrap w:val="0"/>
            <w:vAlign w:val="center"/>
          </w:tcPr>
          <w:p>
            <w:pPr>
              <w:tabs>
                <w:tab w:val="left" w:pos="0"/>
              </w:tabs>
              <w:spacing w:line="480" w:lineRule="exact"/>
              <w:jc w:val="center"/>
              <w:rPr>
                <w:rFonts w:ascii="宋体"/>
                <w:color w:val="auto"/>
                <w:sz w:val="24"/>
                <w:szCs w:val="24"/>
              </w:rPr>
            </w:pPr>
            <w:r>
              <w:rPr>
                <w:rFonts w:hint="eastAsia" w:ascii="宋体" w:hAnsi="宋体" w:cs="宋体"/>
                <w:color w:val="auto"/>
                <w:sz w:val="24"/>
                <w:szCs w:val="24"/>
              </w:rPr>
              <w:t>承诺</w:t>
            </w:r>
          </w:p>
        </w:tc>
        <w:tc>
          <w:tcPr>
            <w:tcW w:w="6918" w:type="dxa"/>
            <w:noWrap w:val="0"/>
          </w:tcPr>
          <w:p>
            <w:pPr>
              <w:spacing w:line="480" w:lineRule="exact"/>
              <w:ind w:left="2"/>
              <w:rPr>
                <w:rFonts w:ascii="宋体"/>
                <w:color w:val="auto"/>
                <w:sz w:val="24"/>
                <w:szCs w:val="24"/>
              </w:rPr>
            </w:pPr>
          </w:p>
        </w:tc>
      </w:tr>
    </w:tbl>
    <w:p>
      <w:pPr>
        <w:spacing w:line="479" w:lineRule="atLeast"/>
        <w:rPr>
          <w:rFonts w:ascii="宋体"/>
          <w:color w:val="auto"/>
        </w:rPr>
      </w:pPr>
    </w:p>
    <w:p>
      <w:pPr>
        <w:widowControl/>
        <w:spacing w:before="100" w:beforeAutospacing="1" w:after="100" w:afterAutospacing="1" w:line="480" w:lineRule="exact"/>
        <w:jc w:val="left"/>
        <w:rPr>
          <w:rFonts w:ascii="宋体"/>
          <w:color w:val="auto"/>
          <w:sz w:val="24"/>
          <w:szCs w:val="24"/>
        </w:rPr>
      </w:pPr>
    </w:p>
    <w:p>
      <w:pPr>
        <w:widowControl/>
        <w:spacing w:before="100" w:beforeAutospacing="1" w:after="100" w:afterAutospacing="1" w:line="480" w:lineRule="exact"/>
        <w:jc w:val="left"/>
        <w:rPr>
          <w:rFonts w:ascii="宋体"/>
          <w:color w:val="auto"/>
          <w:sz w:val="24"/>
          <w:szCs w:val="24"/>
          <w:u w:val="single"/>
        </w:rPr>
      </w:pPr>
      <w:r>
        <w:rPr>
          <w:rFonts w:hint="eastAsia" w:ascii="宋体" w:hAnsi="宋体" w:cs="宋体"/>
          <w:color w:val="auto"/>
          <w:sz w:val="24"/>
          <w:szCs w:val="24"/>
        </w:rPr>
        <w:t>法定代表人或委托代理人：（盖章或签字）</w:t>
      </w:r>
    </w:p>
    <w:p>
      <w:pPr>
        <w:spacing w:before="100" w:beforeAutospacing="1" w:after="100" w:afterAutospacing="1" w:line="480" w:lineRule="exact"/>
        <w:rPr>
          <w:rFonts w:ascii="宋体"/>
          <w:color w:val="auto"/>
          <w:sz w:val="24"/>
          <w:szCs w:val="24"/>
        </w:rPr>
      </w:pPr>
      <w:r>
        <w:rPr>
          <w:rFonts w:hint="eastAsia" w:ascii="宋体" w:hAnsi="宋体" w:cs="宋体"/>
          <w:color w:val="auto"/>
          <w:sz w:val="24"/>
          <w:szCs w:val="24"/>
        </w:rPr>
        <w:t>投标单位：（公章）</w:t>
      </w:r>
    </w:p>
    <w:p>
      <w:pPr>
        <w:pStyle w:val="25"/>
        <w:spacing w:line="300" w:lineRule="auto"/>
        <w:ind w:firstLine="723"/>
        <w:rPr>
          <w:rFonts w:hAnsi="宋体" w:cs="Calibri"/>
          <w:b/>
          <w:bCs/>
          <w:color w:val="auto"/>
          <w:sz w:val="36"/>
          <w:szCs w:val="36"/>
        </w:rPr>
      </w:pPr>
    </w:p>
    <w:p>
      <w:pPr>
        <w:spacing w:line="480" w:lineRule="exact"/>
        <w:jc w:val="right"/>
        <w:rPr>
          <w:rFonts w:ascii="宋体"/>
          <w:color w:val="auto"/>
          <w:sz w:val="24"/>
          <w:szCs w:val="24"/>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spacing w:line="480" w:lineRule="exact"/>
        <w:jc w:val="right"/>
        <w:rPr>
          <w:rFonts w:ascii="宋体"/>
          <w:color w:val="auto"/>
          <w:sz w:val="24"/>
          <w:szCs w:val="24"/>
        </w:rPr>
      </w:pPr>
    </w:p>
    <w:p>
      <w:pPr>
        <w:keepNext/>
        <w:keepLines/>
        <w:widowControl/>
        <w:spacing w:before="260" w:after="260" w:line="480" w:lineRule="exact"/>
        <w:ind w:firstLine="643"/>
        <w:jc w:val="center"/>
        <w:outlineLvl w:val="1"/>
        <w:rPr>
          <w:rFonts w:ascii="宋体"/>
          <w:b/>
          <w:bCs/>
          <w:color w:val="auto"/>
          <w:sz w:val="32"/>
          <w:szCs w:val="32"/>
        </w:rPr>
      </w:pPr>
      <w:bookmarkStart w:id="57" w:name="_Toc126251020"/>
      <w:bookmarkStart w:id="58" w:name="_Toc130206670"/>
      <w:bookmarkStart w:id="59" w:name="_Toc89091034"/>
      <w:bookmarkStart w:id="60" w:name="_Toc130206671"/>
      <w:bookmarkStart w:id="61" w:name="_Toc83396170"/>
      <w:bookmarkStart w:id="62" w:name="_Toc126251021"/>
      <w:bookmarkStart w:id="63" w:name="_Toc112917820"/>
      <w:bookmarkStart w:id="64" w:name="_Toc110326027"/>
      <w:bookmarkStart w:id="65" w:name="_Toc120519634"/>
      <w:r>
        <w:rPr>
          <w:rFonts w:hint="eastAsia" w:ascii="宋体" w:hAnsi="宋体" w:cs="宋体"/>
          <w:b/>
          <w:bCs/>
          <w:color w:val="auto"/>
          <w:sz w:val="32"/>
          <w:szCs w:val="32"/>
        </w:rPr>
        <w:t>（十五）项目业绩汇总表</w:t>
      </w:r>
      <w:bookmarkEnd w:id="57"/>
      <w:bookmarkEnd w:id="58"/>
    </w:p>
    <w:tbl>
      <w:tblPr>
        <w:tblStyle w:val="43"/>
        <w:tblW w:w="0" w:type="auto"/>
        <w:jc w:val="center"/>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8" w:type="dxa"/>
          <w:bottom w:w="0" w:type="dxa"/>
          <w:right w:w="108" w:type="dxa"/>
        </w:tblCellMar>
      </w:tblPr>
      <w:tblGrid>
        <w:gridCol w:w="900"/>
        <w:gridCol w:w="1370"/>
        <w:gridCol w:w="1505"/>
        <w:gridCol w:w="2046"/>
        <w:gridCol w:w="1800"/>
        <w:gridCol w:w="166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jc w:val="center"/>
              <w:rPr>
                <w:rFonts w:ascii="宋体"/>
                <w:color w:val="auto"/>
                <w:sz w:val="24"/>
                <w:szCs w:val="24"/>
              </w:rPr>
            </w:pPr>
            <w:r>
              <w:rPr>
                <w:rFonts w:hint="eastAsia" w:ascii="宋体" w:hAnsi="宋体" w:cs="宋体"/>
                <w:color w:val="auto"/>
                <w:sz w:val="24"/>
                <w:szCs w:val="24"/>
              </w:rPr>
              <w:t>序号</w:t>
            </w:r>
          </w:p>
        </w:tc>
        <w:tc>
          <w:tcPr>
            <w:tcW w:w="1370" w:type="dxa"/>
            <w:noWrap w:val="0"/>
            <w:tcMar>
              <w:left w:w="108" w:type="dxa"/>
            </w:tcMar>
            <w:vAlign w:val="center"/>
          </w:tcPr>
          <w:p>
            <w:pPr>
              <w:widowControl/>
              <w:jc w:val="center"/>
              <w:rPr>
                <w:rFonts w:ascii="宋体"/>
                <w:color w:val="auto"/>
                <w:sz w:val="24"/>
                <w:szCs w:val="24"/>
              </w:rPr>
            </w:pPr>
            <w:r>
              <w:rPr>
                <w:rFonts w:hint="eastAsia" w:ascii="宋体" w:hAnsi="宋体" w:cs="宋体"/>
                <w:color w:val="auto"/>
                <w:sz w:val="24"/>
                <w:szCs w:val="24"/>
              </w:rPr>
              <w:t>项目名称</w:t>
            </w:r>
          </w:p>
        </w:tc>
        <w:tc>
          <w:tcPr>
            <w:tcW w:w="1505" w:type="dxa"/>
            <w:noWrap w:val="0"/>
            <w:tcMar>
              <w:left w:w="108" w:type="dxa"/>
            </w:tcMar>
            <w:vAlign w:val="center"/>
          </w:tcPr>
          <w:p>
            <w:pPr>
              <w:widowControl/>
              <w:jc w:val="center"/>
              <w:rPr>
                <w:rFonts w:ascii="宋体"/>
                <w:color w:val="auto"/>
                <w:sz w:val="24"/>
                <w:szCs w:val="24"/>
              </w:rPr>
            </w:pPr>
            <w:r>
              <w:rPr>
                <w:rFonts w:hint="eastAsia" w:ascii="宋体" w:hAnsi="宋体" w:cs="宋体"/>
                <w:color w:val="auto"/>
                <w:sz w:val="24"/>
                <w:szCs w:val="24"/>
              </w:rPr>
              <w:t>项目内容</w:t>
            </w:r>
          </w:p>
        </w:tc>
        <w:tc>
          <w:tcPr>
            <w:tcW w:w="2046" w:type="dxa"/>
            <w:tcBorders>
              <w:right w:val="single" w:color="000000" w:sz="4" w:space="0"/>
            </w:tcBorders>
            <w:noWrap w:val="0"/>
            <w:tcMar>
              <w:left w:w="108" w:type="dxa"/>
            </w:tcMar>
            <w:vAlign w:val="center"/>
          </w:tcPr>
          <w:p>
            <w:pPr>
              <w:widowControl/>
              <w:jc w:val="center"/>
              <w:rPr>
                <w:rFonts w:ascii="宋体"/>
                <w:color w:val="auto"/>
                <w:sz w:val="24"/>
                <w:szCs w:val="24"/>
              </w:rPr>
            </w:pPr>
            <w:r>
              <w:rPr>
                <w:rFonts w:hint="eastAsia" w:ascii="宋体" w:hAnsi="宋体" w:cs="宋体"/>
                <w:color w:val="auto"/>
                <w:sz w:val="24"/>
                <w:szCs w:val="24"/>
              </w:rPr>
              <w:t>项目金额（万元）</w:t>
            </w:r>
          </w:p>
        </w:tc>
        <w:tc>
          <w:tcPr>
            <w:tcW w:w="1800" w:type="dxa"/>
            <w:tcBorders>
              <w:left w:val="single" w:color="000000" w:sz="4" w:space="0"/>
            </w:tcBorders>
            <w:noWrap w:val="0"/>
            <w:vAlign w:val="center"/>
          </w:tcPr>
          <w:p>
            <w:pPr>
              <w:widowControl/>
              <w:jc w:val="center"/>
              <w:rPr>
                <w:rFonts w:ascii="宋体"/>
                <w:color w:val="auto"/>
                <w:sz w:val="24"/>
                <w:szCs w:val="24"/>
              </w:rPr>
            </w:pPr>
            <w:r>
              <w:rPr>
                <w:rFonts w:hint="eastAsia" w:ascii="宋体" w:hAnsi="宋体" w:cs="宋体"/>
                <w:color w:val="auto"/>
                <w:sz w:val="24"/>
                <w:szCs w:val="24"/>
              </w:rPr>
              <w:t>合同签订日期</w:t>
            </w:r>
          </w:p>
        </w:tc>
        <w:tc>
          <w:tcPr>
            <w:tcW w:w="1665" w:type="dxa"/>
            <w:tcBorders>
              <w:left w:val="single" w:color="000000" w:sz="4" w:space="0"/>
            </w:tcBorders>
            <w:noWrap w:val="0"/>
            <w:vAlign w:val="center"/>
          </w:tcPr>
          <w:p>
            <w:pPr>
              <w:widowControl/>
              <w:jc w:val="center"/>
              <w:rPr>
                <w:rFonts w:ascii="宋体"/>
                <w:color w:val="auto"/>
                <w:sz w:val="24"/>
                <w:szCs w:val="24"/>
              </w:rPr>
            </w:pPr>
            <w:r>
              <w:rPr>
                <w:rFonts w:hint="eastAsia" w:ascii="宋体" w:hAnsi="宋体" w:cs="宋体"/>
                <w:color w:val="auto"/>
                <w:sz w:val="24"/>
                <w:szCs w:val="24"/>
              </w:rPr>
              <w:t>业主联系方式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color w:val="auto"/>
                <w:sz w:val="24"/>
                <w:szCs w:val="24"/>
              </w:rPr>
            </w:pPr>
            <w:r>
              <w:rPr>
                <w:rFonts w:ascii="宋体" w:hAnsi="宋体" w:cs="宋体"/>
                <w:color w:val="auto"/>
                <w:sz w:val="24"/>
                <w:szCs w:val="24"/>
              </w:rPr>
              <w:t>1</w:t>
            </w:r>
          </w:p>
        </w:tc>
        <w:tc>
          <w:tcPr>
            <w:tcW w:w="1370" w:type="dxa"/>
            <w:noWrap w:val="0"/>
            <w:tcMar>
              <w:left w:w="108" w:type="dxa"/>
            </w:tcMar>
            <w:vAlign w:val="center"/>
          </w:tcPr>
          <w:p>
            <w:pPr>
              <w:widowControl/>
              <w:spacing w:line="360" w:lineRule="auto"/>
              <w:jc w:val="center"/>
              <w:rPr>
                <w:rFonts w:ascii="宋体"/>
                <w:color w:val="auto"/>
                <w:sz w:val="24"/>
                <w:szCs w:val="24"/>
              </w:rPr>
            </w:pPr>
          </w:p>
        </w:tc>
        <w:tc>
          <w:tcPr>
            <w:tcW w:w="1505" w:type="dxa"/>
            <w:noWrap w:val="0"/>
            <w:tcMar>
              <w:left w:w="108" w:type="dxa"/>
            </w:tcMar>
            <w:vAlign w:val="center"/>
          </w:tcPr>
          <w:p>
            <w:pPr>
              <w:widowControl/>
              <w:spacing w:line="360" w:lineRule="auto"/>
              <w:jc w:val="center"/>
              <w:rPr>
                <w:rFonts w:ascii="宋体"/>
                <w:color w:val="auto"/>
                <w:sz w:val="24"/>
                <w:szCs w:val="24"/>
              </w:rPr>
            </w:pPr>
          </w:p>
        </w:tc>
        <w:tc>
          <w:tcPr>
            <w:tcW w:w="2046" w:type="dxa"/>
            <w:tcBorders>
              <w:right w:val="single" w:color="000000" w:sz="4" w:space="0"/>
            </w:tcBorders>
            <w:noWrap w:val="0"/>
            <w:tcMar>
              <w:left w:w="108" w:type="dxa"/>
            </w:tcMar>
            <w:vAlign w:val="center"/>
          </w:tcPr>
          <w:p>
            <w:pPr>
              <w:widowControl/>
              <w:spacing w:line="360" w:lineRule="auto"/>
              <w:jc w:val="center"/>
              <w:rPr>
                <w:rFonts w:ascii="宋体"/>
                <w:color w:val="auto"/>
                <w:sz w:val="24"/>
                <w:szCs w:val="24"/>
              </w:rPr>
            </w:pPr>
          </w:p>
        </w:tc>
        <w:tc>
          <w:tcPr>
            <w:tcW w:w="1800" w:type="dxa"/>
            <w:tcBorders>
              <w:left w:val="single" w:color="000000" w:sz="4" w:space="0"/>
            </w:tcBorders>
            <w:noWrap w:val="0"/>
            <w:vAlign w:val="center"/>
          </w:tcPr>
          <w:p>
            <w:pPr>
              <w:widowControl/>
              <w:spacing w:line="360" w:lineRule="auto"/>
              <w:jc w:val="center"/>
              <w:rPr>
                <w:rFonts w:ascii="宋体"/>
                <w:color w:val="auto"/>
                <w:sz w:val="24"/>
                <w:szCs w:val="24"/>
              </w:rPr>
            </w:pPr>
          </w:p>
        </w:tc>
        <w:tc>
          <w:tcPr>
            <w:tcW w:w="1665" w:type="dxa"/>
            <w:tcBorders>
              <w:left w:val="single" w:color="000000" w:sz="4" w:space="0"/>
            </w:tcBorders>
            <w:noWrap w:val="0"/>
            <w:vAlign w:val="center"/>
          </w:tcPr>
          <w:p>
            <w:pPr>
              <w:widowControl/>
              <w:spacing w:line="360" w:lineRule="auto"/>
              <w:jc w:val="center"/>
              <w:rPr>
                <w:rFonts w:ascii="宋体"/>
                <w:color w:val="auto"/>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color w:val="auto"/>
                <w:sz w:val="24"/>
                <w:szCs w:val="24"/>
              </w:rPr>
            </w:pPr>
            <w:r>
              <w:rPr>
                <w:rFonts w:ascii="宋体" w:hAnsi="宋体" w:cs="宋体"/>
                <w:color w:val="auto"/>
                <w:sz w:val="24"/>
                <w:szCs w:val="24"/>
              </w:rPr>
              <w:t>2</w:t>
            </w:r>
          </w:p>
        </w:tc>
        <w:tc>
          <w:tcPr>
            <w:tcW w:w="1370" w:type="dxa"/>
            <w:noWrap w:val="0"/>
            <w:tcMar>
              <w:left w:w="108" w:type="dxa"/>
            </w:tcMar>
            <w:vAlign w:val="center"/>
          </w:tcPr>
          <w:p>
            <w:pPr>
              <w:widowControl/>
              <w:spacing w:line="360" w:lineRule="auto"/>
              <w:jc w:val="center"/>
              <w:rPr>
                <w:rFonts w:ascii="宋体"/>
                <w:color w:val="auto"/>
                <w:sz w:val="24"/>
                <w:szCs w:val="24"/>
              </w:rPr>
            </w:pPr>
          </w:p>
        </w:tc>
        <w:tc>
          <w:tcPr>
            <w:tcW w:w="1505" w:type="dxa"/>
            <w:noWrap w:val="0"/>
            <w:tcMar>
              <w:left w:w="108" w:type="dxa"/>
            </w:tcMar>
            <w:vAlign w:val="center"/>
          </w:tcPr>
          <w:p>
            <w:pPr>
              <w:widowControl/>
              <w:spacing w:line="360" w:lineRule="auto"/>
              <w:jc w:val="center"/>
              <w:rPr>
                <w:rFonts w:ascii="宋体"/>
                <w:color w:val="auto"/>
                <w:sz w:val="24"/>
                <w:szCs w:val="24"/>
              </w:rPr>
            </w:pPr>
          </w:p>
        </w:tc>
        <w:tc>
          <w:tcPr>
            <w:tcW w:w="2046" w:type="dxa"/>
            <w:tcBorders>
              <w:right w:val="single" w:color="000000" w:sz="4" w:space="0"/>
            </w:tcBorders>
            <w:noWrap w:val="0"/>
            <w:tcMar>
              <w:left w:w="108" w:type="dxa"/>
            </w:tcMar>
            <w:vAlign w:val="center"/>
          </w:tcPr>
          <w:p>
            <w:pPr>
              <w:widowControl/>
              <w:spacing w:line="360" w:lineRule="auto"/>
              <w:jc w:val="center"/>
              <w:rPr>
                <w:rFonts w:ascii="宋体"/>
                <w:color w:val="auto"/>
                <w:sz w:val="24"/>
                <w:szCs w:val="24"/>
              </w:rPr>
            </w:pPr>
          </w:p>
        </w:tc>
        <w:tc>
          <w:tcPr>
            <w:tcW w:w="1800" w:type="dxa"/>
            <w:tcBorders>
              <w:left w:val="single" w:color="000000" w:sz="4" w:space="0"/>
            </w:tcBorders>
            <w:noWrap w:val="0"/>
            <w:vAlign w:val="center"/>
          </w:tcPr>
          <w:p>
            <w:pPr>
              <w:widowControl/>
              <w:spacing w:line="360" w:lineRule="auto"/>
              <w:jc w:val="center"/>
              <w:rPr>
                <w:rFonts w:ascii="宋体"/>
                <w:color w:val="auto"/>
                <w:sz w:val="24"/>
                <w:szCs w:val="24"/>
              </w:rPr>
            </w:pPr>
          </w:p>
        </w:tc>
        <w:tc>
          <w:tcPr>
            <w:tcW w:w="1665" w:type="dxa"/>
            <w:tcBorders>
              <w:left w:val="single" w:color="000000" w:sz="4" w:space="0"/>
            </w:tcBorders>
            <w:noWrap w:val="0"/>
            <w:vAlign w:val="center"/>
          </w:tcPr>
          <w:p>
            <w:pPr>
              <w:widowControl/>
              <w:spacing w:line="360" w:lineRule="auto"/>
              <w:jc w:val="center"/>
              <w:rPr>
                <w:rFonts w:ascii="宋体"/>
                <w:color w:val="auto"/>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color w:val="auto"/>
                <w:sz w:val="24"/>
                <w:szCs w:val="24"/>
              </w:rPr>
            </w:pPr>
            <w:r>
              <w:rPr>
                <w:rFonts w:ascii="宋体" w:hAnsi="宋体" w:cs="宋体"/>
                <w:color w:val="auto"/>
                <w:sz w:val="24"/>
                <w:szCs w:val="24"/>
              </w:rPr>
              <w:t>3</w:t>
            </w:r>
          </w:p>
        </w:tc>
        <w:tc>
          <w:tcPr>
            <w:tcW w:w="1370" w:type="dxa"/>
            <w:noWrap w:val="0"/>
            <w:tcMar>
              <w:left w:w="108" w:type="dxa"/>
            </w:tcMar>
            <w:vAlign w:val="center"/>
          </w:tcPr>
          <w:p>
            <w:pPr>
              <w:widowControl/>
              <w:spacing w:line="360" w:lineRule="auto"/>
              <w:jc w:val="center"/>
              <w:rPr>
                <w:rFonts w:ascii="宋体"/>
                <w:color w:val="auto"/>
                <w:sz w:val="24"/>
                <w:szCs w:val="24"/>
              </w:rPr>
            </w:pPr>
          </w:p>
        </w:tc>
        <w:tc>
          <w:tcPr>
            <w:tcW w:w="1505" w:type="dxa"/>
            <w:noWrap w:val="0"/>
            <w:tcMar>
              <w:left w:w="108" w:type="dxa"/>
            </w:tcMar>
            <w:vAlign w:val="center"/>
          </w:tcPr>
          <w:p>
            <w:pPr>
              <w:widowControl/>
              <w:spacing w:line="360" w:lineRule="auto"/>
              <w:jc w:val="center"/>
              <w:rPr>
                <w:rFonts w:ascii="宋体"/>
                <w:color w:val="auto"/>
                <w:sz w:val="24"/>
                <w:szCs w:val="24"/>
              </w:rPr>
            </w:pPr>
          </w:p>
        </w:tc>
        <w:tc>
          <w:tcPr>
            <w:tcW w:w="2046" w:type="dxa"/>
            <w:tcBorders>
              <w:right w:val="single" w:color="000000" w:sz="4" w:space="0"/>
            </w:tcBorders>
            <w:noWrap w:val="0"/>
            <w:tcMar>
              <w:left w:w="108" w:type="dxa"/>
            </w:tcMar>
            <w:vAlign w:val="center"/>
          </w:tcPr>
          <w:p>
            <w:pPr>
              <w:widowControl/>
              <w:spacing w:line="360" w:lineRule="auto"/>
              <w:jc w:val="center"/>
              <w:rPr>
                <w:rFonts w:ascii="宋体"/>
                <w:color w:val="auto"/>
                <w:sz w:val="24"/>
                <w:szCs w:val="24"/>
              </w:rPr>
            </w:pPr>
          </w:p>
        </w:tc>
        <w:tc>
          <w:tcPr>
            <w:tcW w:w="1800" w:type="dxa"/>
            <w:tcBorders>
              <w:left w:val="single" w:color="000000" w:sz="4" w:space="0"/>
            </w:tcBorders>
            <w:noWrap w:val="0"/>
            <w:vAlign w:val="center"/>
          </w:tcPr>
          <w:p>
            <w:pPr>
              <w:widowControl/>
              <w:spacing w:line="360" w:lineRule="auto"/>
              <w:jc w:val="center"/>
              <w:rPr>
                <w:rFonts w:ascii="宋体"/>
                <w:color w:val="auto"/>
                <w:sz w:val="24"/>
                <w:szCs w:val="24"/>
              </w:rPr>
            </w:pPr>
          </w:p>
        </w:tc>
        <w:tc>
          <w:tcPr>
            <w:tcW w:w="1665" w:type="dxa"/>
            <w:tcBorders>
              <w:left w:val="single" w:color="000000" w:sz="4" w:space="0"/>
            </w:tcBorders>
            <w:noWrap w:val="0"/>
            <w:vAlign w:val="center"/>
          </w:tcPr>
          <w:p>
            <w:pPr>
              <w:widowControl/>
              <w:spacing w:line="360" w:lineRule="auto"/>
              <w:jc w:val="center"/>
              <w:rPr>
                <w:rFonts w:ascii="宋体"/>
                <w:color w:val="auto"/>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cs="宋体"/>
                <w:color w:val="auto"/>
                <w:sz w:val="24"/>
                <w:szCs w:val="24"/>
              </w:rPr>
            </w:pPr>
            <w:r>
              <w:rPr>
                <w:rFonts w:ascii="宋体" w:cs="宋体"/>
                <w:color w:val="auto"/>
                <w:sz w:val="24"/>
                <w:szCs w:val="24"/>
              </w:rPr>
              <w:t>...</w:t>
            </w:r>
          </w:p>
        </w:tc>
        <w:tc>
          <w:tcPr>
            <w:tcW w:w="1370" w:type="dxa"/>
            <w:noWrap w:val="0"/>
            <w:tcMar>
              <w:left w:w="108" w:type="dxa"/>
            </w:tcMar>
            <w:vAlign w:val="center"/>
          </w:tcPr>
          <w:p>
            <w:pPr>
              <w:widowControl/>
              <w:spacing w:line="360" w:lineRule="auto"/>
              <w:jc w:val="center"/>
              <w:rPr>
                <w:rFonts w:ascii="宋体" w:cs="宋体"/>
                <w:color w:val="auto"/>
                <w:sz w:val="24"/>
                <w:szCs w:val="24"/>
              </w:rPr>
            </w:pPr>
            <w:r>
              <w:rPr>
                <w:rFonts w:ascii="宋体" w:cs="宋体"/>
                <w:color w:val="auto"/>
                <w:sz w:val="24"/>
                <w:szCs w:val="24"/>
              </w:rPr>
              <w:t>...</w:t>
            </w:r>
          </w:p>
        </w:tc>
        <w:tc>
          <w:tcPr>
            <w:tcW w:w="1505" w:type="dxa"/>
            <w:noWrap w:val="0"/>
            <w:tcMar>
              <w:left w:w="108" w:type="dxa"/>
            </w:tcMar>
            <w:vAlign w:val="center"/>
          </w:tcPr>
          <w:p>
            <w:pPr>
              <w:widowControl/>
              <w:spacing w:line="360" w:lineRule="auto"/>
              <w:jc w:val="center"/>
              <w:rPr>
                <w:rFonts w:ascii="宋体" w:cs="宋体"/>
                <w:color w:val="auto"/>
                <w:sz w:val="24"/>
                <w:szCs w:val="24"/>
              </w:rPr>
            </w:pPr>
            <w:r>
              <w:rPr>
                <w:rFonts w:ascii="宋体" w:cs="宋体"/>
                <w:color w:val="auto"/>
                <w:sz w:val="24"/>
                <w:szCs w:val="24"/>
              </w:rPr>
              <w:t>...</w:t>
            </w:r>
          </w:p>
        </w:tc>
        <w:tc>
          <w:tcPr>
            <w:tcW w:w="2046" w:type="dxa"/>
            <w:tcBorders>
              <w:right w:val="single" w:color="000000" w:sz="4" w:space="0"/>
            </w:tcBorders>
            <w:noWrap w:val="0"/>
            <w:tcMar>
              <w:left w:w="108" w:type="dxa"/>
            </w:tcMar>
            <w:vAlign w:val="center"/>
          </w:tcPr>
          <w:p>
            <w:pPr>
              <w:widowControl/>
              <w:spacing w:line="360" w:lineRule="auto"/>
              <w:jc w:val="center"/>
              <w:rPr>
                <w:rFonts w:ascii="宋体" w:cs="宋体"/>
                <w:color w:val="auto"/>
                <w:sz w:val="24"/>
                <w:szCs w:val="24"/>
              </w:rPr>
            </w:pPr>
            <w:r>
              <w:rPr>
                <w:rFonts w:ascii="宋体" w:cs="宋体"/>
                <w:color w:val="auto"/>
                <w:sz w:val="24"/>
                <w:szCs w:val="24"/>
              </w:rPr>
              <w:t>...</w:t>
            </w:r>
          </w:p>
        </w:tc>
        <w:tc>
          <w:tcPr>
            <w:tcW w:w="1800" w:type="dxa"/>
            <w:tcBorders>
              <w:left w:val="single" w:color="000000" w:sz="4" w:space="0"/>
            </w:tcBorders>
            <w:noWrap w:val="0"/>
            <w:vAlign w:val="center"/>
          </w:tcPr>
          <w:p>
            <w:pPr>
              <w:widowControl/>
              <w:spacing w:line="360" w:lineRule="auto"/>
              <w:jc w:val="center"/>
              <w:rPr>
                <w:rFonts w:ascii="宋体" w:cs="宋体"/>
                <w:color w:val="auto"/>
                <w:sz w:val="24"/>
                <w:szCs w:val="24"/>
              </w:rPr>
            </w:pPr>
            <w:r>
              <w:rPr>
                <w:rFonts w:ascii="宋体" w:cs="宋体"/>
                <w:color w:val="auto"/>
                <w:sz w:val="24"/>
                <w:szCs w:val="24"/>
              </w:rPr>
              <w:t>...</w:t>
            </w:r>
          </w:p>
        </w:tc>
        <w:tc>
          <w:tcPr>
            <w:tcW w:w="1665" w:type="dxa"/>
            <w:tcBorders>
              <w:left w:val="single" w:color="000000" w:sz="4" w:space="0"/>
            </w:tcBorders>
            <w:noWrap w:val="0"/>
            <w:vAlign w:val="center"/>
          </w:tcPr>
          <w:p>
            <w:pPr>
              <w:widowControl/>
              <w:spacing w:line="360" w:lineRule="auto"/>
              <w:jc w:val="center"/>
              <w:rPr>
                <w:rFonts w:ascii="宋体" w:cs="宋体"/>
                <w:color w:val="auto"/>
                <w:sz w:val="24"/>
                <w:szCs w:val="24"/>
              </w:rPr>
            </w:pPr>
          </w:p>
        </w:tc>
      </w:tr>
    </w:tbl>
    <w:p>
      <w:pPr>
        <w:widowControl/>
        <w:spacing w:line="520" w:lineRule="exact"/>
        <w:ind w:left="2"/>
        <w:jc w:val="left"/>
        <w:rPr>
          <w:rFonts w:ascii="宋体"/>
          <w:color w:val="auto"/>
          <w:sz w:val="24"/>
          <w:szCs w:val="24"/>
        </w:rPr>
      </w:pPr>
      <w:r>
        <w:rPr>
          <w:rFonts w:hint="eastAsia" w:ascii="宋体" w:hAnsi="宋体" w:cs="宋体"/>
          <w:color w:val="auto"/>
          <w:sz w:val="24"/>
          <w:szCs w:val="24"/>
        </w:rPr>
        <w:t>注：</w:t>
      </w:r>
      <w:r>
        <w:rPr>
          <w:rFonts w:hint="eastAsia" w:ascii="宋体" w:hAnsi="宋体" w:cs="宋体"/>
          <w:color w:val="auto"/>
          <w:sz w:val="24"/>
          <w:szCs w:val="24"/>
          <w:u w:val="single"/>
        </w:rPr>
        <w:t>此表不够可复制和放大</w:t>
      </w:r>
      <w:r>
        <w:rPr>
          <w:rFonts w:hint="eastAsia" w:ascii="宋体" w:hAnsi="宋体" w:cs="宋体"/>
          <w:color w:val="auto"/>
          <w:sz w:val="24"/>
          <w:szCs w:val="24"/>
        </w:rPr>
        <w:t>。</w:t>
      </w:r>
    </w:p>
    <w:p>
      <w:pPr>
        <w:widowControl/>
        <w:spacing w:line="360" w:lineRule="auto"/>
        <w:jc w:val="left"/>
        <w:rPr>
          <w:rFonts w:ascii="宋体"/>
          <w:color w:val="auto"/>
        </w:rPr>
      </w:pPr>
    </w:p>
    <w:p>
      <w:pPr>
        <w:widowControl/>
        <w:ind w:firstLine="480"/>
        <w:jc w:val="left"/>
        <w:rPr>
          <w:rFonts w:ascii="宋体"/>
          <w:color w:val="auto"/>
          <w:sz w:val="24"/>
          <w:szCs w:val="24"/>
        </w:rPr>
      </w:pPr>
    </w:p>
    <w:p>
      <w:pPr>
        <w:widowControl/>
        <w:jc w:val="left"/>
        <w:rPr>
          <w:rFonts w:ascii="宋体"/>
          <w:color w:val="auto"/>
          <w:sz w:val="24"/>
          <w:szCs w:val="24"/>
        </w:rPr>
      </w:pPr>
      <w:r>
        <w:rPr>
          <w:rFonts w:hint="eastAsia" w:ascii="宋体" w:hAnsi="宋体" w:cs="宋体"/>
          <w:color w:val="auto"/>
          <w:sz w:val="24"/>
          <w:szCs w:val="24"/>
        </w:rPr>
        <w:t>投标单位</w:t>
      </w:r>
      <w:r>
        <w:rPr>
          <w:rFonts w:ascii="宋体" w:hAnsi="宋体" w:cs="宋体"/>
          <w:color w:val="auto"/>
          <w:sz w:val="24"/>
          <w:szCs w:val="24"/>
        </w:rPr>
        <w:t>(</w:t>
      </w:r>
      <w:r>
        <w:rPr>
          <w:rFonts w:hint="eastAsia" w:ascii="宋体" w:hAnsi="宋体" w:cs="宋体"/>
          <w:color w:val="auto"/>
          <w:sz w:val="24"/>
          <w:szCs w:val="24"/>
        </w:rPr>
        <w:t>盖章</w:t>
      </w:r>
      <w:r>
        <w:rPr>
          <w:rFonts w:ascii="宋体" w:hAnsi="宋体" w:cs="宋体"/>
          <w:color w:val="auto"/>
          <w:sz w:val="24"/>
          <w:szCs w:val="24"/>
        </w:rPr>
        <w:t>)</w:t>
      </w:r>
      <w:r>
        <w:rPr>
          <w:rFonts w:hint="eastAsia" w:ascii="宋体" w:hAnsi="宋体" w:cs="宋体"/>
          <w:color w:val="auto"/>
          <w:sz w:val="24"/>
          <w:szCs w:val="24"/>
        </w:rPr>
        <w:t>：</w:t>
      </w:r>
    </w:p>
    <w:p>
      <w:pPr>
        <w:widowControl/>
        <w:ind w:firstLine="480"/>
        <w:jc w:val="left"/>
        <w:rPr>
          <w:rFonts w:ascii="宋体"/>
          <w:color w:val="auto"/>
          <w:sz w:val="24"/>
          <w:szCs w:val="24"/>
        </w:rPr>
      </w:pPr>
    </w:p>
    <w:p>
      <w:pPr>
        <w:widowControl/>
        <w:ind w:firstLine="480"/>
        <w:jc w:val="left"/>
        <w:rPr>
          <w:rFonts w:ascii="宋体"/>
          <w:color w:val="auto"/>
          <w:sz w:val="24"/>
          <w:szCs w:val="24"/>
        </w:rPr>
      </w:pPr>
    </w:p>
    <w:p>
      <w:pPr>
        <w:widowControl/>
        <w:jc w:val="left"/>
        <w:rPr>
          <w:rFonts w:ascii="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w:t>
      </w:r>
      <w:r>
        <w:rPr>
          <w:rFonts w:hint="eastAsia" w:ascii="宋体" w:hAnsi="宋体" w:cs="宋体"/>
          <w:color w:val="auto"/>
          <w:sz w:val="24"/>
          <w:szCs w:val="24"/>
        </w:rPr>
        <w:t>负责人（或委托代理人）：</w:t>
      </w:r>
      <w:r>
        <w:rPr>
          <w:rFonts w:ascii="宋体" w:hAnsi="宋体" w:cs="宋体"/>
          <w:color w:val="auto"/>
          <w:sz w:val="24"/>
          <w:szCs w:val="24"/>
        </w:rPr>
        <w:t xml:space="preserve">  (</w:t>
      </w:r>
      <w:r>
        <w:rPr>
          <w:rFonts w:hint="eastAsia" w:ascii="宋体" w:hAnsi="宋体" w:cs="宋体"/>
          <w:color w:val="auto"/>
          <w:sz w:val="24"/>
          <w:szCs w:val="24"/>
        </w:rPr>
        <w:t>盖章或签字</w:t>
      </w:r>
      <w:r>
        <w:rPr>
          <w:rFonts w:ascii="宋体" w:hAnsi="宋体" w:cs="宋体"/>
          <w:color w:val="auto"/>
          <w:sz w:val="24"/>
          <w:szCs w:val="24"/>
        </w:rPr>
        <w:t>)</w:t>
      </w:r>
    </w:p>
    <w:p>
      <w:pPr>
        <w:widowControl/>
        <w:spacing w:line="460" w:lineRule="exact"/>
        <w:ind w:left="4901" w:right="-867" w:firstLine="480"/>
        <w:jc w:val="left"/>
        <w:rPr>
          <w:rFonts w:ascii="宋体"/>
          <w:color w:val="auto"/>
          <w:sz w:val="24"/>
          <w:szCs w:val="24"/>
          <w:u w:val="single"/>
        </w:rPr>
      </w:pPr>
    </w:p>
    <w:p>
      <w:pPr>
        <w:widowControl/>
        <w:spacing w:line="460" w:lineRule="exact"/>
        <w:ind w:right="-867"/>
        <w:jc w:val="left"/>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bookmarkEnd w:id="59"/>
      <w:bookmarkEnd w:id="60"/>
      <w:bookmarkEnd w:id="61"/>
      <w:bookmarkEnd w:id="62"/>
      <w:bookmarkEnd w:id="63"/>
      <w:bookmarkEnd w:id="64"/>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p>
    <w:p>
      <w:pPr>
        <w:spacing w:before="120" w:after="120" w:line="460" w:lineRule="exact"/>
        <w:ind w:firstLine="643"/>
        <w:jc w:val="center"/>
        <w:outlineLvl w:val="0"/>
        <w:rPr>
          <w:rFonts w:ascii="宋体"/>
          <w:b/>
          <w:bCs/>
          <w:color w:val="auto"/>
          <w:sz w:val="32"/>
          <w:szCs w:val="32"/>
        </w:rPr>
      </w:pPr>
      <w:bookmarkStart w:id="66" w:name="_Toc130206672"/>
      <w:r>
        <w:rPr>
          <w:rFonts w:hint="eastAsia" w:ascii="宋体" w:hAnsi="宋体" w:cs="宋体"/>
          <w:b/>
          <w:bCs/>
          <w:color w:val="auto"/>
          <w:sz w:val="32"/>
          <w:szCs w:val="32"/>
        </w:rPr>
        <w:t>（十六）技术方案</w:t>
      </w:r>
      <w:bookmarkEnd w:id="65"/>
      <w:bookmarkEnd w:id="66"/>
    </w:p>
    <w:p>
      <w:pPr>
        <w:spacing w:line="480" w:lineRule="exact"/>
        <w:ind w:firstLine="480"/>
        <w:jc w:val="center"/>
        <w:rPr>
          <w:rFonts w:ascii="宋体"/>
          <w:color w:val="auto"/>
          <w:sz w:val="24"/>
          <w:szCs w:val="24"/>
        </w:rPr>
      </w:pPr>
      <w:r>
        <w:rPr>
          <w:rFonts w:ascii="宋体" w:hAnsi="宋体" w:cs="宋体"/>
          <w:color w:val="auto"/>
          <w:sz w:val="24"/>
          <w:szCs w:val="24"/>
        </w:rPr>
        <w:t>(</w:t>
      </w:r>
      <w:r>
        <w:rPr>
          <w:rFonts w:hint="eastAsia" w:ascii="宋体" w:hAnsi="宋体" w:cs="宋体"/>
          <w:color w:val="auto"/>
          <w:sz w:val="24"/>
          <w:szCs w:val="24"/>
        </w:rPr>
        <w:t>投标人根据评标细则中的相关要求自行编制，格式自制</w:t>
      </w:r>
      <w:r>
        <w:rPr>
          <w:rFonts w:ascii="宋体" w:hAnsi="宋体" w:cs="宋体"/>
          <w:color w:val="auto"/>
          <w:sz w:val="24"/>
          <w:szCs w:val="24"/>
        </w:rPr>
        <w:t>)</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before="120" w:after="120" w:line="460" w:lineRule="exact"/>
        <w:ind w:firstLine="643"/>
        <w:jc w:val="center"/>
        <w:outlineLvl w:val="0"/>
        <w:rPr>
          <w:rFonts w:ascii="宋体"/>
          <w:b/>
          <w:bCs/>
          <w:color w:val="auto"/>
          <w:sz w:val="32"/>
          <w:szCs w:val="32"/>
        </w:rPr>
      </w:pPr>
      <w:r>
        <w:rPr>
          <w:rFonts w:hint="eastAsia" w:ascii="宋体" w:hAnsi="宋体" w:cs="宋体"/>
          <w:b/>
          <w:bCs/>
          <w:color w:val="auto"/>
          <w:sz w:val="32"/>
          <w:szCs w:val="32"/>
        </w:rPr>
        <w:t>（十七）售后及培训方案</w:t>
      </w:r>
    </w:p>
    <w:p>
      <w:pPr>
        <w:spacing w:line="480" w:lineRule="exact"/>
        <w:ind w:firstLine="480"/>
        <w:jc w:val="center"/>
        <w:rPr>
          <w:rFonts w:ascii="宋体"/>
          <w:color w:val="auto"/>
          <w:sz w:val="24"/>
          <w:szCs w:val="24"/>
        </w:rPr>
      </w:pPr>
      <w:r>
        <w:rPr>
          <w:rFonts w:ascii="宋体" w:hAnsi="宋体" w:cs="宋体"/>
          <w:color w:val="auto"/>
          <w:sz w:val="24"/>
          <w:szCs w:val="24"/>
        </w:rPr>
        <w:t>(</w:t>
      </w:r>
      <w:r>
        <w:rPr>
          <w:rFonts w:hint="eastAsia" w:ascii="宋体" w:hAnsi="宋体" w:cs="宋体"/>
          <w:color w:val="auto"/>
          <w:sz w:val="24"/>
          <w:szCs w:val="24"/>
        </w:rPr>
        <w:t>投标人根据评标细则中的相关要求自行编制，格式自制</w:t>
      </w:r>
      <w:r>
        <w:rPr>
          <w:rFonts w:ascii="宋体" w:hAnsi="宋体" w:cs="宋体"/>
          <w:color w:val="auto"/>
          <w:sz w:val="24"/>
          <w:szCs w:val="24"/>
        </w:rPr>
        <w:t>)</w:t>
      </w:r>
    </w:p>
    <w:p>
      <w:pPr>
        <w:pStyle w:val="2"/>
        <w:rPr>
          <w:color w:val="auto"/>
        </w:rPr>
      </w:pPr>
    </w:p>
    <w:p>
      <w:pPr>
        <w:spacing w:before="100" w:beforeAutospacing="1" w:after="100" w:afterAutospacing="1" w:line="480" w:lineRule="exact"/>
        <w:ind w:firstLine="723"/>
        <w:jc w:val="right"/>
        <w:rPr>
          <w:rFonts w:ascii="宋体"/>
          <w:b/>
          <w:bCs/>
          <w:color w:val="auto"/>
          <w:sz w:val="36"/>
          <w:szCs w:val="36"/>
        </w:rPr>
      </w:pPr>
    </w:p>
    <w:sectPr>
      <w:headerReference r:id="rId3" w:type="default"/>
      <w:footerReference r:id="rId4" w:type="default"/>
      <w:pgSz w:w="11906" w:h="16838"/>
      <w:pgMar w:top="1440" w:right="1417" w:bottom="1440" w:left="1191" w:header="851" w:footer="992" w:gutter="0"/>
      <w:pgNumType w:start="1"/>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_GB2312">
    <w:altName w:val="DejaVu Math TeX Gyre"/>
    <w:panose1 w:val="020B0503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59"/>
      <w:rPr>
        <w:rFonts w:cs="Calibri"/>
      </w:rPr>
    </w:pPr>
    <w:r>
      <mc:AlternateContent>
        <mc:Choice Requires="wps">
          <w:drawing>
            <wp:anchor distT="0" distB="0" distL="114300" distR="114300" simplePos="0" relativeHeight="251659264" behindDoc="0" locked="0" layoutInCell="1" allowOverlap="1">
              <wp:simplePos x="0" y="0"/>
              <wp:positionH relativeFrom="margin">
                <wp:posOffset>2225675</wp:posOffset>
              </wp:positionH>
              <wp:positionV relativeFrom="paragraph">
                <wp:posOffset>0</wp:posOffset>
              </wp:positionV>
              <wp:extent cx="1073150" cy="31115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073150" cy="311150"/>
                      </a:xfrm>
                      <a:prstGeom prst="rect">
                        <a:avLst/>
                      </a:prstGeom>
                      <a:noFill/>
                      <a:ln>
                        <a:noFill/>
                        <a:miter/>
                      </a:ln>
                    </wps:spPr>
                    <wps:txbx>
                      <w:txbxContent>
                        <w:p>
                          <w:pPr>
                            <w:pStyle w:val="29"/>
                          </w:pPr>
                          <w:r>
                            <w:rPr>
                              <w:rFonts w:hint="eastAsia" w:cs="宋体"/>
                            </w:rPr>
                            <w:t>第</w:t>
                          </w:r>
                          <w:r>
                            <w:fldChar w:fldCharType="begin"/>
                          </w:r>
                          <w:r>
                            <w:instrText xml:space="preserve">PAGE   \* MERGEFORMAT</w:instrText>
                          </w:r>
                          <w:r>
                            <w:fldChar w:fldCharType="separate"/>
                          </w:r>
                          <w:r>
                            <w:t>34</w:t>
                          </w:r>
                          <w:r>
                            <w:fldChar w:fldCharType="end"/>
                          </w:r>
                          <w:r>
                            <w:rPr>
                              <w:rFonts w:hint="eastAsia" w:cs="宋体"/>
                            </w:rPr>
                            <w:t>页共</w:t>
                          </w:r>
                          <w:r>
                            <w:t>57</w:t>
                          </w:r>
                          <w:r>
                            <w:rPr>
                              <w:rFonts w:hint="eastAsia" w:cs="宋体"/>
                            </w:rPr>
                            <w:t>页</w:t>
                          </w:r>
                        </w:p>
                        <w:p/>
                      </w:txbxContent>
                    </wps:txbx>
                    <wps:bodyPr wrap="square" lIns="0" tIns="0" rIns="0" bIns="0" upright="1">
                      <a:spAutoFit/>
                    </wps:bodyPr>
                  </wps:wsp>
                </a:graphicData>
              </a:graphic>
            </wp:anchor>
          </w:drawing>
        </mc:Choice>
        <mc:Fallback>
          <w:pict>
            <v:shape id="_x0000_s1026" o:spid="_x0000_s1026" o:spt="202" type="#_x0000_t202" style="position:absolute;left:0pt;margin-left:175.25pt;margin-top:0pt;height:24.5pt;width:84.5pt;mso-position-horizontal-relative:margin;z-index:251659264;mso-width-relative:page;mso-height-relative:page;" filled="f" stroked="f" coordsize="21600,21600" o:gfxdata="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9SPrA1AAAAAcBAAAPAAAAAAAAAAEA&#10;IAAAACIAAABkcnMvZG93bnJldi54bWxQSwECFAAUAAAACACHTuJAp2oTPtoBAACyAwAADgAAAAAA&#10;AAABACAAAAAjAQAAZHJzL2Uyb0RvYy54bWxQSwUGAAAAAAYABgBZAQAAbwUAAAAA&#10;">
              <v:fill on="f" focussize="0,0"/>
              <v:stroke on="f" joinstyle="miter"/>
              <v:imagedata o:title=""/>
              <o:lock v:ext="edit" aspectratio="f"/>
              <v:textbox inset="0mm,0mm,0mm,0mm" style="mso-fit-shape-to-text:t;">
                <w:txbxContent>
                  <w:p>
                    <w:pPr>
                      <w:pStyle w:val="29"/>
                    </w:pPr>
                    <w:r>
                      <w:rPr>
                        <w:rFonts w:hint="eastAsia" w:cs="宋体"/>
                      </w:rPr>
                      <w:t>第</w:t>
                    </w:r>
                    <w:r>
                      <w:fldChar w:fldCharType="begin"/>
                    </w:r>
                    <w:r>
                      <w:instrText xml:space="preserve">PAGE   \* MERGEFORMAT</w:instrText>
                    </w:r>
                    <w:r>
                      <w:fldChar w:fldCharType="separate"/>
                    </w:r>
                    <w:r>
                      <w:t>34</w:t>
                    </w:r>
                    <w:r>
                      <w:fldChar w:fldCharType="end"/>
                    </w:r>
                    <w:r>
                      <w:rPr>
                        <w:rFonts w:hint="eastAsia" w:cs="宋体"/>
                      </w:rPr>
                      <w:t>页共</w:t>
                    </w:r>
                    <w:r>
                      <w:t>57</w:t>
                    </w:r>
                    <w:r>
                      <w:rPr>
                        <w:rFonts w:hint="eastAsia" w:cs="宋体"/>
                      </w:rPr>
                      <w:t>页</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ind w:right="987" w:firstLine="360"/>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Times New Roman"/>
      </w:rPr>
    </w:lvl>
    <w:lvl w:ilvl="2" w:tentative="0">
      <w:start w:val="1"/>
      <w:numFmt w:val="bullet"/>
      <w:lvlText w:val="§"/>
      <w:lvlJc w:val="left"/>
      <w:pPr>
        <w:ind w:left="2160" w:hanging="360"/>
      </w:pPr>
      <w:rPr>
        <w:rFonts w:hint="default" w:ascii="Wingdings" w:hAnsi="Wingdings" w:eastAsia="Times New Roman"/>
      </w:rPr>
    </w:lvl>
    <w:lvl w:ilvl="3" w:tentative="0">
      <w:start w:val="1"/>
      <w:numFmt w:val="bullet"/>
      <w:lvlText w:val="·"/>
      <w:lvlJc w:val="left"/>
      <w:pPr>
        <w:ind w:left="2880" w:hanging="360"/>
      </w:pPr>
      <w:rPr>
        <w:rFonts w:hint="default" w:ascii="Symbol" w:hAnsi="Symbol" w:eastAsia="Times New Roman"/>
      </w:rPr>
    </w:lvl>
    <w:lvl w:ilvl="4" w:tentative="0">
      <w:start w:val="1"/>
      <w:numFmt w:val="bullet"/>
      <w:lvlText w:val="o"/>
      <w:lvlJc w:val="left"/>
      <w:pPr>
        <w:ind w:left="3600" w:hanging="360"/>
      </w:pPr>
      <w:rPr>
        <w:rFonts w:hint="default" w:ascii="Courier New" w:hAnsi="Courier New" w:eastAsia="Times New Roman"/>
      </w:rPr>
    </w:lvl>
    <w:lvl w:ilvl="5" w:tentative="0">
      <w:start w:val="1"/>
      <w:numFmt w:val="bullet"/>
      <w:lvlText w:val="§"/>
      <w:lvlJc w:val="left"/>
      <w:pPr>
        <w:ind w:left="4320" w:hanging="360"/>
      </w:pPr>
      <w:rPr>
        <w:rFonts w:hint="default" w:ascii="Wingdings" w:hAnsi="Wingdings" w:eastAsia="Times New Roman"/>
      </w:rPr>
    </w:lvl>
    <w:lvl w:ilvl="6" w:tentative="0">
      <w:start w:val="1"/>
      <w:numFmt w:val="bullet"/>
      <w:lvlText w:val="·"/>
      <w:lvlJc w:val="left"/>
      <w:pPr>
        <w:ind w:left="5040" w:hanging="360"/>
      </w:pPr>
      <w:rPr>
        <w:rFonts w:hint="default" w:ascii="Symbol" w:hAnsi="Symbol" w:eastAsia="Times New Roman"/>
      </w:rPr>
    </w:lvl>
    <w:lvl w:ilvl="7" w:tentative="0">
      <w:start w:val="1"/>
      <w:numFmt w:val="bullet"/>
      <w:lvlText w:val="o"/>
      <w:lvlJc w:val="left"/>
      <w:pPr>
        <w:ind w:left="5760" w:hanging="360"/>
      </w:pPr>
      <w:rPr>
        <w:rFonts w:hint="default" w:ascii="Courier New" w:hAnsi="Courier New" w:eastAsia="Times New Roman"/>
      </w:rPr>
    </w:lvl>
    <w:lvl w:ilvl="8" w:tentative="0">
      <w:start w:val="1"/>
      <w:numFmt w:val="bullet"/>
      <w:lvlText w:val="§"/>
      <w:lvlJc w:val="left"/>
      <w:pPr>
        <w:ind w:left="6480" w:hanging="360"/>
      </w:pPr>
      <w:rPr>
        <w:rFonts w:hint="default" w:ascii="Wingdings" w:hAnsi="Wingdings" w:eastAsia="Times New Roman"/>
      </w:rPr>
    </w:lvl>
  </w:abstractNum>
  <w:abstractNum w:abstractNumId="1">
    <w:nsid w:val="0053208E"/>
    <w:multiLevelType w:val="multilevel"/>
    <w:tmpl w:val="0053208E"/>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59ADCABA"/>
    <w:multiLevelType w:val="multilevel"/>
    <w:tmpl w:val="59ADCABA"/>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zdlNzQ2NzMxODJkZjk4N2UyZjdmOTBhYTM2MzIifQ=="/>
  </w:docVars>
  <w:rsids>
    <w:rsidRoot w:val="00000000"/>
    <w:rsid w:val="014D1444"/>
    <w:rsid w:val="0D826EB5"/>
    <w:rsid w:val="2A3054F3"/>
    <w:rsid w:val="2FB5724B"/>
    <w:rsid w:val="36F1520A"/>
    <w:rsid w:val="59D625D1"/>
    <w:rsid w:val="6A713766"/>
    <w:rsid w:val="7C15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99" w:name="table of figures"/>
    <w:lsdException w:uiPriority="99"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default" w:ascii="Calibri" w:hAnsi="Calibri" w:eastAsia="宋体" w:cs="Calibri"/>
      <w:sz w:val="21"/>
      <w:szCs w:val="21"/>
      <w:lang w:val="en-US" w:eastAsia="zh-CN" w:bidi="ar-SA"/>
    </w:rPr>
  </w:style>
  <w:style w:type="paragraph" w:styleId="3">
    <w:name w:val="heading 1"/>
    <w:basedOn w:val="1"/>
    <w:next w:val="1"/>
    <w:link w:val="248"/>
    <w:autoRedefine/>
    <w:qFormat/>
    <w:uiPriority w:val="99"/>
    <w:pPr>
      <w:keepNext/>
      <w:keepLines/>
      <w:spacing w:before="340" w:after="330" w:line="578" w:lineRule="auto"/>
      <w:outlineLvl w:val="0"/>
    </w:pPr>
    <w:rPr>
      <w:rFonts w:ascii="Times New Roman" w:hAnsi="Times New Roman" w:cs="Times New Roman"/>
      <w:b/>
      <w:bCs/>
      <w:sz w:val="44"/>
      <w:szCs w:val="44"/>
    </w:rPr>
  </w:style>
  <w:style w:type="paragraph" w:styleId="4">
    <w:name w:val="heading 2"/>
    <w:basedOn w:val="1"/>
    <w:next w:val="5"/>
    <w:link w:val="121"/>
    <w:autoRedefine/>
    <w:qFormat/>
    <w:uiPriority w:val="99"/>
    <w:pPr>
      <w:keepNext/>
      <w:keepLines/>
      <w:spacing w:before="360" w:after="200"/>
      <w:outlineLvl w:val="1"/>
    </w:pPr>
    <w:rPr>
      <w:rFonts w:ascii="Arial" w:hAnsi="Arial" w:cs="Arial"/>
      <w:sz w:val="34"/>
      <w:szCs w:val="34"/>
    </w:rPr>
  </w:style>
  <w:style w:type="paragraph" w:styleId="6">
    <w:name w:val="heading 3"/>
    <w:basedOn w:val="1"/>
    <w:next w:val="1"/>
    <w:link w:val="122"/>
    <w:autoRedefine/>
    <w:qFormat/>
    <w:uiPriority w:val="99"/>
    <w:pPr>
      <w:keepNext/>
      <w:keepLines/>
      <w:spacing w:before="260" w:after="260" w:line="416" w:lineRule="auto"/>
      <w:outlineLvl w:val="2"/>
    </w:pPr>
    <w:rPr>
      <w:rFonts w:ascii="Arial" w:hAnsi="Arial" w:cs="Arial"/>
      <w:sz w:val="30"/>
      <w:szCs w:val="30"/>
    </w:rPr>
  </w:style>
  <w:style w:type="paragraph" w:styleId="7">
    <w:name w:val="heading 4"/>
    <w:basedOn w:val="1"/>
    <w:next w:val="1"/>
    <w:link w:val="123"/>
    <w:autoRedefine/>
    <w:qFormat/>
    <w:uiPriority w:val="99"/>
    <w:pPr>
      <w:keepNext/>
      <w:keepLines/>
      <w:spacing w:before="320" w:after="200"/>
      <w:outlineLvl w:val="3"/>
    </w:pPr>
    <w:rPr>
      <w:rFonts w:ascii="Arial" w:hAnsi="Arial" w:cs="Arial"/>
      <w:b/>
      <w:bCs/>
      <w:sz w:val="26"/>
      <w:szCs w:val="26"/>
    </w:rPr>
  </w:style>
  <w:style w:type="paragraph" w:styleId="8">
    <w:name w:val="heading 5"/>
    <w:basedOn w:val="1"/>
    <w:next w:val="1"/>
    <w:link w:val="124"/>
    <w:autoRedefine/>
    <w:qFormat/>
    <w:uiPriority w:val="99"/>
    <w:pPr>
      <w:keepNext/>
      <w:keepLines/>
      <w:spacing w:before="320" w:after="200"/>
      <w:outlineLvl w:val="4"/>
    </w:pPr>
    <w:rPr>
      <w:rFonts w:ascii="Arial" w:hAnsi="Arial" w:cs="Arial"/>
      <w:b/>
      <w:bCs/>
      <w:sz w:val="24"/>
      <w:szCs w:val="24"/>
    </w:rPr>
  </w:style>
  <w:style w:type="paragraph" w:styleId="9">
    <w:name w:val="heading 6"/>
    <w:basedOn w:val="1"/>
    <w:next w:val="1"/>
    <w:link w:val="125"/>
    <w:autoRedefine/>
    <w:qFormat/>
    <w:uiPriority w:val="99"/>
    <w:pPr>
      <w:keepNext/>
      <w:keepLines/>
      <w:spacing w:before="320" w:after="200"/>
      <w:outlineLvl w:val="5"/>
    </w:pPr>
    <w:rPr>
      <w:rFonts w:ascii="Arial" w:hAnsi="Arial" w:cs="Arial"/>
      <w:b/>
      <w:bCs/>
      <w:sz w:val="22"/>
      <w:szCs w:val="22"/>
    </w:rPr>
  </w:style>
  <w:style w:type="paragraph" w:styleId="10">
    <w:name w:val="heading 7"/>
    <w:basedOn w:val="1"/>
    <w:next w:val="1"/>
    <w:link w:val="126"/>
    <w:autoRedefine/>
    <w:qFormat/>
    <w:uiPriority w:val="99"/>
    <w:pPr>
      <w:keepNext/>
      <w:keepLines/>
      <w:spacing w:before="320" w:after="200"/>
      <w:outlineLvl w:val="6"/>
    </w:pPr>
    <w:rPr>
      <w:rFonts w:ascii="Arial" w:hAnsi="Arial" w:cs="Arial"/>
      <w:b/>
      <w:bCs/>
      <w:i/>
      <w:iCs/>
      <w:sz w:val="22"/>
      <w:szCs w:val="22"/>
    </w:rPr>
  </w:style>
  <w:style w:type="paragraph" w:styleId="11">
    <w:name w:val="heading 8"/>
    <w:basedOn w:val="1"/>
    <w:next w:val="1"/>
    <w:link w:val="127"/>
    <w:autoRedefine/>
    <w:qFormat/>
    <w:uiPriority w:val="99"/>
    <w:pPr>
      <w:keepNext/>
      <w:keepLines/>
      <w:spacing w:before="320" w:after="200"/>
      <w:outlineLvl w:val="7"/>
    </w:pPr>
    <w:rPr>
      <w:rFonts w:ascii="Arial" w:hAnsi="Arial" w:cs="Arial"/>
      <w:i/>
      <w:iCs/>
      <w:sz w:val="22"/>
      <w:szCs w:val="22"/>
    </w:rPr>
  </w:style>
  <w:style w:type="paragraph" w:styleId="12">
    <w:name w:val="heading 9"/>
    <w:basedOn w:val="1"/>
    <w:next w:val="1"/>
    <w:link w:val="128"/>
    <w:autoRedefine/>
    <w:qFormat/>
    <w:uiPriority w:val="99"/>
    <w:pPr>
      <w:keepNext/>
      <w:keepLines/>
      <w:spacing w:before="320" w:after="200"/>
      <w:outlineLvl w:val="8"/>
    </w:pPr>
    <w:rPr>
      <w:rFonts w:ascii="Arial" w:hAnsi="Arial" w:cs="Arial"/>
      <w:i/>
      <w:iCs/>
    </w:rPr>
  </w:style>
  <w:style w:type="character" w:default="1" w:styleId="45">
    <w:name w:val="Default Paragraph Font"/>
    <w:autoRedefine/>
    <w:semiHidden/>
    <w:qFormat/>
    <w:uiPriority w:val="99"/>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本块11"/>
    <w:basedOn w:val="1"/>
    <w:autoRedefine/>
    <w:qFormat/>
    <w:uiPriority w:val="99"/>
    <w:pPr>
      <w:spacing w:after="120"/>
      <w:ind w:left="1440"/>
    </w:pPr>
  </w:style>
  <w:style w:type="paragraph" w:styleId="5">
    <w:name w:val="Normal Indent"/>
    <w:basedOn w:val="1"/>
    <w:link w:val="249"/>
    <w:autoRedefine/>
    <w:uiPriority w:val="99"/>
    <w:pPr>
      <w:ind w:firstLine="420"/>
    </w:pPr>
    <w:rPr>
      <w:rFonts w:ascii="Times New Roman" w:hAnsi="Times New Roman" w:cs="Times New Roman"/>
      <w:sz w:val="24"/>
      <w:szCs w:val="24"/>
    </w:rPr>
  </w:style>
  <w:style w:type="paragraph" w:styleId="13">
    <w:name w:val="toc 7"/>
    <w:basedOn w:val="1"/>
    <w:next w:val="1"/>
    <w:autoRedefine/>
    <w:semiHidden/>
    <w:qFormat/>
    <w:uiPriority w:val="99"/>
    <w:pPr>
      <w:spacing w:after="57"/>
      <w:ind w:left="1701"/>
    </w:pPr>
  </w:style>
  <w:style w:type="paragraph" w:styleId="14">
    <w:name w:val="caption"/>
    <w:basedOn w:val="1"/>
    <w:next w:val="1"/>
    <w:autoRedefine/>
    <w:qFormat/>
    <w:uiPriority w:val="99"/>
    <w:pPr>
      <w:spacing w:line="276" w:lineRule="auto"/>
    </w:pPr>
    <w:rPr>
      <w:b/>
      <w:bCs/>
      <w:color w:val="4F81BD"/>
      <w:sz w:val="18"/>
      <w:szCs w:val="18"/>
    </w:rPr>
  </w:style>
  <w:style w:type="paragraph" w:styleId="15">
    <w:name w:val="Document Map"/>
    <w:basedOn w:val="1"/>
    <w:link w:val="81"/>
    <w:autoRedefine/>
    <w:semiHidden/>
    <w:qFormat/>
    <w:uiPriority w:val="99"/>
    <w:rPr>
      <w:rFonts w:ascii="宋体" w:hAnsi="Times New Roman" w:cs="宋体"/>
      <w:sz w:val="18"/>
      <w:szCs w:val="18"/>
    </w:rPr>
  </w:style>
  <w:style w:type="paragraph" w:styleId="16">
    <w:name w:val="annotation text"/>
    <w:basedOn w:val="1"/>
    <w:link w:val="82"/>
    <w:semiHidden/>
    <w:qFormat/>
    <w:uiPriority w:val="99"/>
    <w:pPr>
      <w:jc w:val="left"/>
    </w:pPr>
    <w:rPr>
      <w:rFonts w:ascii="Times New Roman" w:hAnsi="Times New Roman" w:cs="Times New Roman"/>
    </w:rPr>
  </w:style>
  <w:style w:type="paragraph" w:styleId="17">
    <w:name w:val="Body Text"/>
    <w:basedOn w:val="1"/>
    <w:next w:val="18"/>
    <w:link w:val="83"/>
    <w:autoRedefine/>
    <w:qFormat/>
    <w:uiPriority w:val="99"/>
    <w:rPr>
      <w:rFonts w:ascii="Tahoma" w:hAnsi="Tahoma" w:cs="Tahoma"/>
    </w:rPr>
  </w:style>
  <w:style w:type="paragraph" w:customStyle="1" w:styleId="18">
    <w:name w:val="一级条标题"/>
    <w:basedOn w:val="19"/>
    <w:next w:val="20"/>
    <w:autoRedefine/>
    <w:qFormat/>
    <w:uiPriority w:val="99"/>
    <w:pPr>
      <w:tabs>
        <w:tab w:val="left" w:pos="810"/>
        <w:tab w:val="left" w:pos="907"/>
        <w:tab w:val="left" w:pos="1265"/>
      </w:tabs>
      <w:spacing w:before="0" w:after="0"/>
      <w:ind w:left="907" w:hanging="907"/>
      <w:outlineLvl w:val="2"/>
    </w:pPr>
    <w:rPr>
      <w:rFonts w:hAnsi="宋体"/>
      <w:sz w:val="20"/>
      <w:szCs w:val="20"/>
    </w:rPr>
  </w:style>
  <w:style w:type="paragraph" w:customStyle="1" w:styleId="19">
    <w:name w:val="章标题"/>
    <w:next w:val="1"/>
    <w:autoRedefine/>
    <w:qFormat/>
    <w:uiPriority w:val="99"/>
    <w:pPr>
      <w:tabs>
        <w:tab w:val="left" w:pos="810"/>
        <w:tab w:val="left" w:pos="1265"/>
      </w:tabs>
      <w:spacing w:before="50" w:after="50"/>
      <w:ind w:left="810" w:hanging="810"/>
      <w:jc w:val="both"/>
      <w:outlineLvl w:val="1"/>
    </w:pPr>
    <w:rPr>
      <w:rFonts w:hint="default" w:ascii="黑体" w:hAnsi="Calibri" w:eastAsia="黑体" w:cs="黑体"/>
      <w:sz w:val="21"/>
      <w:szCs w:val="21"/>
      <w:lang w:val="en-US" w:eastAsia="zh-CN" w:bidi="ar-SA"/>
    </w:rPr>
  </w:style>
  <w:style w:type="paragraph" w:customStyle="1" w:styleId="20">
    <w:name w:val="段"/>
    <w:next w:val="1"/>
    <w:autoRedefine/>
    <w:qFormat/>
    <w:uiPriority w:val="99"/>
    <w:pPr>
      <w:widowControl w:val="0"/>
      <w:ind w:firstLine="200"/>
      <w:jc w:val="both"/>
    </w:pPr>
    <w:rPr>
      <w:rFonts w:hint="default" w:ascii="宋体" w:hAnsi="宋体" w:eastAsia="宋体" w:cs="宋体"/>
      <w:color w:val="000000"/>
      <w:sz w:val="21"/>
      <w:szCs w:val="21"/>
      <w:lang w:val="en-US" w:eastAsia="zh-CN" w:bidi="ar-SA"/>
    </w:rPr>
  </w:style>
  <w:style w:type="paragraph" w:styleId="21">
    <w:name w:val="Body Text Indent"/>
    <w:basedOn w:val="1"/>
    <w:next w:val="22"/>
    <w:link w:val="84"/>
    <w:autoRedefine/>
    <w:qFormat/>
    <w:uiPriority w:val="99"/>
    <w:pPr>
      <w:tabs>
        <w:tab w:val="left" w:pos="180"/>
      </w:tabs>
      <w:ind w:firstLine="480"/>
    </w:pPr>
    <w:rPr>
      <w:rFonts w:ascii="Tahoma" w:hAnsi="Tahoma" w:cs="Tahoma"/>
      <w:sz w:val="24"/>
      <w:szCs w:val="24"/>
    </w:rPr>
  </w:style>
  <w:style w:type="paragraph" w:styleId="22">
    <w:name w:val="envelope return"/>
    <w:basedOn w:val="1"/>
    <w:autoRedefine/>
    <w:qFormat/>
    <w:uiPriority w:val="99"/>
    <w:rPr>
      <w:rFonts w:ascii="Arial" w:hAnsi="Arial" w:cs="Arial"/>
    </w:rPr>
  </w:style>
  <w:style w:type="paragraph" w:styleId="23">
    <w:name w:val="toc 5"/>
    <w:basedOn w:val="1"/>
    <w:next w:val="1"/>
    <w:autoRedefine/>
    <w:semiHidden/>
    <w:qFormat/>
    <w:uiPriority w:val="99"/>
    <w:pPr>
      <w:spacing w:after="57"/>
      <w:ind w:left="1134"/>
    </w:pPr>
  </w:style>
  <w:style w:type="paragraph" w:styleId="24">
    <w:name w:val="toc 3"/>
    <w:basedOn w:val="1"/>
    <w:next w:val="1"/>
    <w:autoRedefine/>
    <w:semiHidden/>
    <w:qFormat/>
    <w:uiPriority w:val="99"/>
    <w:pPr>
      <w:ind w:left="840"/>
    </w:pPr>
  </w:style>
  <w:style w:type="paragraph" w:styleId="25">
    <w:name w:val="Plain Text"/>
    <w:basedOn w:val="1"/>
    <w:link w:val="85"/>
    <w:autoRedefine/>
    <w:qFormat/>
    <w:uiPriority w:val="99"/>
    <w:rPr>
      <w:rFonts w:ascii="宋体" w:hAnsi="Courier New" w:cs="宋体"/>
    </w:rPr>
  </w:style>
  <w:style w:type="paragraph" w:styleId="26">
    <w:name w:val="toc 8"/>
    <w:basedOn w:val="1"/>
    <w:next w:val="1"/>
    <w:autoRedefine/>
    <w:semiHidden/>
    <w:qFormat/>
    <w:uiPriority w:val="99"/>
    <w:pPr>
      <w:spacing w:after="57"/>
      <w:ind w:left="1984"/>
    </w:pPr>
  </w:style>
  <w:style w:type="paragraph" w:styleId="27">
    <w:name w:val="endnote text"/>
    <w:basedOn w:val="1"/>
    <w:link w:val="246"/>
    <w:autoRedefine/>
    <w:semiHidden/>
    <w:qFormat/>
    <w:uiPriority w:val="99"/>
    <w:rPr>
      <w:rFonts w:ascii="Times New Roman" w:hAnsi="Times New Roman" w:cs="Times New Roman"/>
      <w:sz w:val="20"/>
      <w:szCs w:val="20"/>
    </w:rPr>
  </w:style>
  <w:style w:type="paragraph" w:styleId="28">
    <w:name w:val="Balloon Text"/>
    <w:basedOn w:val="1"/>
    <w:link w:val="87"/>
    <w:autoRedefine/>
    <w:semiHidden/>
    <w:qFormat/>
    <w:uiPriority w:val="99"/>
    <w:rPr>
      <w:rFonts w:ascii="Times New Roman" w:hAnsi="Times New Roman" w:cs="Times New Roman"/>
      <w:sz w:val="18"/>
      <w:szCs w:val="18"/>
    </w:rPr>
  </w:style>
  <w:style w:type="paragraph" w:styleId="29">
    <w:name w:val="footer"/>
    <w:basedOn w:val="1"/>
    <w:link w:val="138"/>
    <w:autoRedefine/>
    <w:qFormat/>
    <w:uiPriority w:val="99"/>
    <w:pPr>
      <w:tabs>
        <w:tab w:val="center" w:pos="4153"/>
        <w:tab w:val="right" w:pos="8306"/>
      </w:tabs>
      <w:jc w:val="left"/>
    </w:pPr>
    <w:rPr>
      <w:sz w:val="18"/>
      <w:szCs w:val="18"/>
    </w:rPr>
  </w:style>
  <w:style w:type="paragraph" w:styleId="30">
    <w:name w:val="header"/>
    <w:basedOn w:val="1"/>
    <w:link w:val="137"/>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pPr>
    <w:rPr>
      <w:sz w:val="18"/>
      <w:szCs w:val="18"/>
    </w:rPr>
  </w:style>
  <w:style w:type="paragraph" w:styleId="31">
    <w:name w:val="toc 1"/>
    <w:basedOn w:val="1"/>
    <w:next w:val="1"/>
    <w:autoRedefine/>
    <w:semiHidden/>
    <w:qFormat/>
    <w:uiPriority w:val="99"/>
    <w:pPr>
      <w:tabs>
        <w:tab w:val="right" w:leader="dot" w:pos="9638"/>
      </w:tabs>
      <w:spacing w:line="440" w:lineRule="exact"/>
      <w:ind w:right="-424"/>
      <w:jc w:val="center"/>
    </w:pPr>
  </w:style>
  <w:style w:type="paragraph" w:styleId="32">
    <w:name w:val="toc 4"/>
    <w:basedOn w:val="1"/>
    <w:next w:val="1"/>
    <w:autoRedefine/>
    <w:semiHidden/>
    <w:qFormat/>
    <w:uiPriority w:val="99"/>
    <w:pPr>
      <w:spacing w:after="57"/>
      <w:ind w:left="850"/>
    </w:pPr>
  </w:style>
  <w:style w:type="paragraph" w:styleId="33">
    <w:name w:val="Subtitle"/>
    <w:basedOn w:val="1"/>
    <w:next w:val="1"/>
    <w:link w:val="132"/>
    <w:autoRedefine/>
    <w:qFormat/>
    <w:uiPriority w:val="99"/>
    <w:pPr>
      <w:spacing w:before="200" w:after="200"/>
    </w:pPr>
    <w:rPr>
      <w:rFonts w:ascii="Times New Roman" w:hAnsi="Times New Roman" w:cs="Times New Roman"/>
      <w:sz w:val="24"/>
      <w:szCs w:val="24"/>
    </w:rPr>
  </w:style>
  <w:style w:type="paragraph" w:styleId="34">
    <w:name w:val="footnote text"/>
    <w:basedOn w:val="1"/>
    <w:link w:val="245"/>
    <w:autoRedefine/>
    <w:semiHidden/>
    <w:qFormat/>
    <w:uiPriority w:val="99"/>
    <w:pPr>
      <w:spacing w:after="40"/>
    </w:pPr>
    <w:rPr>
      <w:rFonts w:ascii="Times New Roman" w:hAnsi="Times New Roman" w:cs="Times New Roman"/>
      <w:sz w:val="18"/>
      <w:szCs w:val="18"/>
    </w:rPr>
  </w:style>
  <w:style w:type="paragraph" w:styleId="35">
    <w:name w:val="toc 6"/>
    <w:basedOn w:val="1"/>
    <w:next w:val="1"/>
    <w:autoRedefine/>
    <w:semiHidden/>
    <w:qFormat/>
    <w:uiPriority w:val="99"/>
    <w:pPr>
      <w:spacing w:after="57"/>
      <w:ind w:left="1417"/>
    </w:pPr>
  </w:style>
  <w:style w:type="paragraph" w:styleId="36">
    <w:name w:val="table of figures"/>
    <w:basedOn w:val="1"/>
    <w:next w:val="1"/>
    <w:autoRedefine/>
    <w:semiHidden/>
    <w:qFormat/>
    <w:uiPriority w:val="99"/>
  </w:style>
  <w:style w:type="paragraph" w:styleId="37">
    <w:name w:val="toc 2"/>
    <w:basedOn w:val="1"/>
    <w:next w:val="1"/>
    <w:autoRedefine/>
    <w:semiHidden/>
    <w:qFormat/>
    <w:uiPriority w:val="99"/>
    <w:pPr>
      <w:tabs>
        <w:tab w:val="right" w:leader="dot" w:pos="9214"/>
      </w:tabs>
      <w:jc w:val="right"/>
    </w:pPr>
  </w:style>
  <w:style w:type="paragraph" w:styleId="38">
    <w:name w:val="toc 9"/>
    <w:basedOn w:val="1"/>
    <w:next w:val="1"/>
    <w:autoRedefine/>
    <w:semiHidden/>
    <w:qFormat/>
    <w:uiPriority w:val="99"/>
    <w:pPr>
      <w:spacing w:after="57"/>
      <w:ind w:left="2268"/>
    </w:pPr>
  </w:style>
  <w:style w:type="paragraph" w:styleId="39">
    <w:name w:val="Normal (Web)"/>
    <w:basedOn w:val="1"/>
    <w:autoRedefine/>
    <w:qFormat/>
    <w:uiPriority w:val="99"/>
    <w:pPr>
      <w:spacing w:before="100" w:beforeAutospacing="1" w:after="100" w:afterAutospacing="1"/>
      <w:jc w:val="left"/>
    </w:pPr>
    <w:rPr>
      <w:rFonts w:ascii="Times New Roman" w:hAnsi="Times New Roman" w:cs="Times New Roman"/>
      <w:sz w:val="24"/>
      <w:szCs w:val="24"/>
    </w:rPr>
  </w:style>
  <w:style w:type="paragraph" w:styleId="40">
    <w:name w:val="Title"/>
    <w:basedOn w:val="1"/>
    <w:next w:val="1"/>
    <w:link w:val="131"/>
    <w:autoRedefine/>
    <w:qFormat/>
    <w:uiPriority w:val="99"/>
    <w:pPr>
      <w:spacing w:before="300" w:after="200"/>
    </w:pPr>
    <w:rPr>
      <w:rFonts w:ascii="Times New Roman" w:hAnsi="Times New Roman" w:cs="Times New Roman"/>
      <w:sz w:val="48"/>
      <w:szCs w:val="48"/>
    </w:rPr>
  </w:style>
  <w:style w:type="paragraph" w:styleId="41">
    <w:name w:val="Body Text First Indent"/>
    <w:basedOn w:val="17"/>
    <w:link w:val="93"/>
    <w:autoRedefine/>
    <w:qFormat/>
    <w:uiPriority w:val="99"/>
    <w:pPr>
      <w:spacing w:line="360" w:lineRule="auto"/>
      <w:ind w:firstLine="200"/>
    </w:pPr>
    <w:rPr>
      <w:rFonts w:ascii="??_GB2312" w:eastAsia="Times New Roman" w:cs="??_GB2312"/>
      <w:sz w:val="30"/>
      <w:szCs w:val="30"/>
    </w:rPr>
  </w:style>
  <w:style w:type="paragraph" w:styleId="42">
    <w:name w:val="Body Text First Indent 2"/>
    <w:basedOn w:val="21"/>
    <w:link w:val="94"/>
    <w:autoRedefine/>
    <w:qFormat/>
    <w:uiPriority w:val="99"/>
    <w:pPr>
      <w:ind w:left="420" w:firstLine="420"/>
    </w:pPr>
    <w:rPr>
      <w:rFonts w:ascii="Times New Roman" w:hAnsi="Times New Roman" w:cs="Times New Roman"/>
    </w:rPr>
  </w:style>
  <w:style w:type="table" w:styleId="44">
    <w:name w:val="Table Grid"/>
    <w:basedOn w:val="43"/>
    <w:autoRedefine/>
    <w:qFormat/>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endnote reference"/>
    <w:basedOn w:val="45"/>
    <w:autoRedefine/>
    <w:semiHidden/>
    <w:qFormat/>
    <w:uiPriority w:val="99"/>
    <w:rPr>
      <w:vertAlign w:val="superscript"/>
    </w:rPr>
  </w:style>
  <w:style w:type="character" w:styleId="47">
    <w:name w:val="page number"/>
    <w:basedOn w:val="45"/>
    <w:autoRedefine/>
    <w:qFormat/>
    <w:uiPriority w:val="99"/>
    <w:rPr>
      <w:rFonts w:ascii="Times New Roman" w:hAnsi="Times New Roman" w:eastAsia="宋体" w:cs="Times New Roman"/>
    </w:rPr>
  </w:style>
  <w:style w:type="character" w:styleId="48">
    <w:name w:val="FollowedHyperlink"/>
    <w:basedOn w:val="45"/>
    <w:autoRedefine/>
    <w:semiHidden/>
    <w:qFormat/>
    <w:uiPriority w:val="99"/>
    <w:rPr>
      <w:color w:val="auto"/>
      <w:u w:val="none"/>
    </w:rPr>
  </w:style>
  <w:style w:type="character" w:styleId="49">
    <w:name w:val="Hyperlink"/>
    <w:basedOn w:val="45"/>
    <w:autoRedefine/>
    <w:qFormat/>
    <w:uiPriority w:val="99"/>
    <w:rPr>
      <w:color w:val="2440B3"/>
      <w:u w:val="single"/>
    </w:rPr>
  </w:style>
  <w:style w:type="character" w:styleId="50">
    <w:name w:val="annotation reference"/>
    <w:basedOn w:val="45"/>
    <w:autoRedefine/>
    <w:semiHidden/>
    <w:qFormat/>
    <w:uiPriority w:val="99"/>
    <w:rPr>
      <w:sz w:val="21"/>
      <w:szCs w:val="21"/>
    </w:rPr>
  </w:style>
  <w:style w:type="character" w:styleId="51">
    <w:name w:val="footnote reference"/>
    <w:basedOn w:val="45"/>
    <w:autoRedefine/>
    <w:semiHidden/>
    <w:qFormat/>
    <w:uiPriority w:val="99"/>
    <w:rPr>
      <w:vertAlign w:val="superscript"/>
    </w:rPr>
  </w:style>
  <w:style w:type="table" w:customStyle="1" w:styleId="52">
    <w:name w:val="Plain Table 1"/>
    <w:basedOn w:val="43"/>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3">
    <w:name w:val="Plain Table 2"/>
    <w:basedOn w:val="43"/>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4">
    <w:name w:val="Plain Table 3"/>
    <w:basedOn w:val="4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5">
    <w:name w:val="Plain Table 4"/>
    <w:basedOn w:val="43"/>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5"/>
    <w:basedOn w:val="43"/>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Grid Table 1 Light"/>
    <w:basedOn w:val="43"/>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8">
    <w:name w:val="Grid Table 2"/>
    <w:basedOn w:val="4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9">
    <w:name w:val="Grid Table 3"/>
    <w:basedOn w:val="4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0">
    <w:name w:val="Grid Table 4"/>
    <w:basedOn w:val="43"/>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1">
    <w:name w:val="Grid Table 5 Dark"/>
    <w:basedOn w:val="4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2">
    <w:name w:val="Grid Table 6 Colorful"/>
    <w:basedOn w:val="43"/>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3">
    <w:name w:val="Grid Table 7 Colorful"/>
    <w:basedOn w:val="43"/>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4">
    <w:name w:val="List Table 1 Light"/>
    <w:basedOn w:val="43"/>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5">
    <w:name w:val="List Table 2"/>
    <w:basedOn w:val="43"/>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6">
    <w:name w:val="List Table 3"/>
    <w:basedOn w:val="4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7">
    <w:name w:val="List Table 4"/>
    <w:basedOn w:val="4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8">
    <w:name w:val="List Table 5 Dark"/>
    <w:basedOn w:val="43"/>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9">
    <w:name w:val="List Table 6 Colorful"/>
    <w:basedOn w:val="43"/>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0">
    <w:name w:val="List Table 7 Colorful"/>
    <w:basedOn w:val="43"/>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1">
    <w:name w:val="TOC Heading"/>
    <w:autoRedefine/>
    <w:unhideWhenUsed/>
    <w:qFormat/>
    <w:uiPriority w:val="39"/>
    <w:rPr>
      <w:rFonts w:hint="default" w:ascii="Times New Roman" w:hAnsi="Times New Roman" w:eastAsia="宋体" w:cs="Times New Roman"/>
    </w:rPr>
  </w:style>
  <w:style w:type="character" w:customStyle="1" w:styleId="72">
    <w:name w:val="Heading 1 Char"/>
    <w:basedOn w:val="45"/>
    <w:link w:val="3"/>
    <w:autoRedefine/>
    <w:qFormat/>
    <w:uiPriority w:val="99"/>
    <w:rPr>
      <w:rFonts w:ascii="Arial" w:hAnsi="Arial" w:cs="Arial"/>
      <w:sz w:val="40"/>
      <w:szCs w:val="40"/>
    </w:rPr>
  </w:style>
  <w:style w:type="character" w:customStyle="1" w:styleId="73">
    <w:name w:val="Heading 2 Char"/>
    <w:basedOn w:val="45"/>
    <w:link w:val="4"/>
    <w:autoRedefine/>
    <w:qFormat/>
    <w:uiPriority w:val="99"/>
    <w:rPr>
      <w:rFonts w:ascii="Arial" w:hAnsi="Arial" w:cs="Arial"/>
      <w:sz w:val="34"/>
      <w:szCs w:val="34"/>
    </w:rPr>
  </w:style>
  <w:style w:type="character" w:customStyle="1" w:styleId="74">
    <w:name w:val="Heading 3 Char"/>
    <w:basedOn w:val="45"/>
    <w:link w:val="6"/>
    <w:autoRedefine/>
    <w:qFormat/>
    <w:uiPriority w:val="99"/>
    <w:rPr>
      <w:rFonts w:ascii="Arial" w:hAnsi="Arial" w:cs="Arial"/>
      <w:sz w:val="30"/>
      <w:szCs w:val="30"/>
    </w:rPr>
  </w:style>
  <w:style w:type="character" w:customStyle="1" w:styleId="75">
    <w:name w:val="Heading 4 Char"/>
    <w:basedOn w:val="45"/>
    <w:link w:val="7"/>
    <w:autoRedefine/>
    <w:qFormat/>
    <w:uiPriority w:val="99"/>
    <w:rPr>
      <w:rFonts w:ascii="Arial" w:hAnsi="Arial" w:cs="Arial"/>
      <w:b/>
      <w:bCs/>
      <w:sz w:val="26"/>
      <w:szCs w:val="26"/>
    </w:rPr>
  </w:style>
  <w:style w:type="character" w:customStyle="1" w:styleId="76">
    <w:name w:val="Heading 5 Char"/>
    <w:basedOn w:val="45"/>
    <w:link w:val="8"/>
    <w:autoRedefine/>
    <w:qFormat/>
    <w:uiPriority w:val="99"/>
    <w:rPr>
      <w:rFonts w:ascii="Arial" w:hAnsi="Arial" w:cs="Arial"/>
      <w:b/>
      <w:bCs/>
      <w:sz w:val="24"/>
      <w:szCs w:val="24"/>
    </w:rPr>
  </w:style>
  <w:style w:type="character" w:customStyle="1" w:styleId="77">
    <w:name w:val="Heading 6 Char"/>
    <w:basedOn w:val="45"/>
    <w:link w:val="9"/>
    <w:autoRedefine/>
    <w:qFormat/>
    <w:uiPriority w:val="99"/>
    <w:rPr>
      <w:rFonts w:ascii="Arial" w:hAnsi="Arial" w:cs="Arial"/>
      <w:b/>
      <w:bCs/>
      <w:sz w:val="22"/>
      <w:szCs w:val="22"/>
    </w:rPr>
  </w:style>
  <w:style w:type="character" w:customStyle="1" w:styleId="78">
    <w:name w:val="Heading 7 Char"/>
    <w:basedOn w:val="45"/>
    <w:link w:val="10"/>
    <w:autoRedefine/>
    <w:qFormat/>
    <w:uiPriority w:val="99"/>
    <w:rPr>
      <w:rFonts w:ascii="Arial" w:hAnsi="Arial" w:cs="Arial"/>
      <w:b/>
      <w:bCs/>
      <w:i/>
      <w:iCs/>
      <w:sz w:val="22"/>
      <w:szCs w:val="22"/>
    </w:rPr>
  </w:style>
  <w:style w:type="character" w:customStyle="1" w:styleId="79">
    <w:name w:val="Heading 8 Char"/>
    <w:basedOn w:val="45"/>
    <w:link w:val="11"/>
    <w:autoRedefine/>
    <w:qFormat/>
    <w:uiPriority w:val="99"/>
    <w:rPr>
      <w:rFonts w:ascii="Arial" w:hAnsi="Arial" w:cs="Arial"/>
      <w:i/>
      <w:iCs/>
      <w:sz w:val="22"/>
      <w:szCs w:val="22"/>
    </w:rPr>
  </w:style>
  <w:style w:type="character" w:customStyle="1" w:styleId="80">
    <w:name w:val="Heading 9 Char"/>
    <w:basedOn w:val="45"/>
    <w:link w:val="12"/>
    <w:autoRedefine/>
    <w:qFormat/>
    <w:uiPriority w:val="99"/>
    <w:rPr>
      <w:rFonts w:ascii="Arial" w:hAnsi="Arial" w:cs="Arial"/>
      <w:i/>
      <w:iCs/>
      <w:sz w:val="21"/>
      <w:szCs w:val="21"/>
    </w:rPr>
  </w:style>
  <w:style w:type="character" w:customStyle="1" w:styleId="81">
    <w:name w:val="Document Map Char"/>
    <w:basedOn w:val="45"/>
    <w:link w:val="15"/>
    <w:autoRedefine/>
    <w:qFormat/>
    <w:uiPriority w:val="99"/>
    <w:rPr>
      <w:rFonts w:ascii="宋体" w:cs="宋体"/>
      <w:sz w:val="18"/>
      <w:szCs w:val="18"/>
    </w:rPr>
  </w:style>
  <w:style w:type="character" w:customStyle="1" w:styleId="82">
    <w:name w:val="Comment Text Char"/>
    <w:basedOn w:val="45"/>
    <w:link w:val="16"/>
    <w:autoRedefine/>
    <w:qFormat/>
    <w:uiPriority w:val="99"/>
    <w:rPr>
      <w:sz w:val="21"/>
      <w:szCs w:val="21"/>
    </w:rPr>
  </w:style>
  <w:style w:type="character" w:customStyle="1" w:styleId="83">
    <w:name w:val="Body Text Char"/>
    <w:basedOn w:val="45"/>
    <w:link w:val="17"/>
    <w:autoRedefine/>
    <w:qFormat/>
    <w:uiPriority w:val="99"/>
    <w:rPr>
      <w:rFonts w:ascii="Tahoma" w:hAnsi="Tahoma" w:cs="Tahoma"/>
      <w:sz w:val="24"/>
      <w:szCs w:val="24"/>
    </w:rPr>
  </w:style>
  <w:style w:type="character" w:customStyle="1" w:styleId="84">
    <w:name w:val="Body Text Indent Char"/>
    <w:basedOn w:val="45"/>
    <w:link w:val="21"/>
    <w:autoRedefine/>
    <w:semiHidden/>
    <w:qFormat/>
    <w:uiPriority w:val="99"/>
    <w:rPr>
      <w:rFonts w:ascii="Calibri" w:hAnsi="Calibri" w:cs="Calibri"/>
      <w:sz w:val="21"/>
      <w:szCs w:val="21"/>
    </w:rPr>
  </w:style>
  <w:style w:type="character" w:customStyle="1" w:styleId="85">
    <w:name w:val="Plain Text Char"/>
    <w:basedOn w:val="45"/>
    <w:link w:val="25"/>
    <w:autoRedefine/>
    <w:semiHidden/>
    <w:qFormat/>
    <w:uiPriority w:val="99"/>
    <w:rPr>
      <w:rFonts w:ascii="宋体" w:hAnsi="Courier New" w:cs="宋体"/>
      <w:sz w:val="21"/>
      <w:szCs w:val="21"/>
    </w:rPr>
  </w:style>
  <w:style w:type="character" w:customStyle="1" w:styleId="86">
    <w:name w:val="Endnote Text Char"/>
    <w:basedOn w:val="45"/>
    <w:link w:val="27"/>
    <w:autoRedefine/>
    <w:qFormat/>
    <w:uiPriority w:val="99"/>
    <w:rPr>
      <w:sz w:val="20"/>
      <w:szCs w:val="20"/>
    </w:rPr>
  </w:style>
  <w:style w:type="character" w:customStyle="1" w:styleId="87">
    <w:name w:val="Balloon Text Char"/>
    <w:basedOn w:val="45"/>
    <w:link w:val="28"/>
    <w:autoRedefine/>
    <w:qFormat/>
    <w:uiPriority w:val="99"/>
    <w:rPr>
      <w:sz w:val="18"/>
      <w:szCs w:val="18"/>
    </w:rPr>
  </w:style>
  <w:style w:type="character" w:customStyle="1" w:styleId="88">
    <w:name w:val="Footer Char"/>
    <w:basedOn w:val="45"/>
    <w:link w:val="29"/>
    <w:autoRedefine/>
    <w:qFormat/>
    <w:uiPriority w:val="99"/>
  </w:style>
  <w:style w:type="character" w:customStyle="1" w:styleId="89">
    <w:name w:val="Header Char"/>
    <w:basedOn w:val="45"/>
    <w:link w:val="30"/>
    <w:autoRedefine/>
    <w:qFormat/>
    <w:uiPriority w:val="99"/>
  </w:style>
  <w:style w:type="character" w:customStyle="1" w:styleId="90">
    <w:name w:val="Subtitle Char"/>
    <w:basedOn w:val="45"/>
    <w:link w:val="33"/>
    <w:autoRedefine/>
    <w:qFormat/>
    <w:uiPriority w:val="99"/>
    <w:rPr>
      <w:sz w:val="24"/>
      <w:szCs w:val="24"/>
    </w:rPr>
  </w:style>
  <w:style w:type="character" w:customStyle="1" w:styleId="91">
    <w:name w:val="Footnote Text Char"/>
    <w:basedOn w:val="45"/>
    <w:link w:val="34"/>
    <w:autoRedefine/>
    <w:qFormat/>
    <w:uiPriority w:val="99"/>
    <w:rPr>
      <w:sz w:val="18"/>
      <w:szCs w:val="18"/>
    </w:rPr>
  </w:style>
  <w:style w:type="character" w:customStyle="1" w:styleId="92">
    <w:name w:val="Title Char"/>
    <w:basedOn w:val="45"/>
    <w:link w:val="40"/>
    <w:autoRedefine/>
    <w:qFormat/>
    <w:uiPriority w:val="99"/>
    <w:rPr>
      <w:sz w:val="48"/>
      <w:szCs w:val="48"/>
    </w:rPr>
  </w:style>
  <w:style w:type="character" w:customStyle="1" w:styleId="93">
    <w:name w:val="Body Text First Indent Char"/>
    <w:basedOn w:val="83"/>
    <w:link w:val="41"/>
    <w:autoRedefine/>
    <w:semiHidden/>
    <w:qFormat/>
    <w:uiPriority w:val="99"/>
    <w:rPr>
      <w:rFonts w:ascii="Calibri" w:hAnsi="Calibri" w:cs="Calibri"/>
      <w:sz w:val="21"/>
      <w:szCs w:val="21"/>
    </w:rPr>
  </w:style>
  <w:style w:type="character" w:customStyle="1" w:styleId="94">
    <w:name w:val="Body Text First Indent 2 Char"/>
    <w:basedOn w:val="84"/>
    <w:link w:val="42"/>
    <w:autoRedefine/>
    <w:semiHidden/>
    <w:qFormat/>
    <w:uiPriority w:val="99"/>
  </w:style>
  <w:style w:type="table" w:customStyle="1" w:styleId="95">
    <w:name w:val="无格式表格 11"/>
    <w:autoRedefine/>
    <w:qFormat/>
    <w:uiPriority w:val="99"/>
    <w:rPr>
      <w:sz w:val="20"/>
      <w:szCs w:val="20"/>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6">
    <w:name w:val="无格式表格 21"/>
    <w:autoRedefine/>
    <w:qFormat/>
    <w:uiPriority w:val="99"/>
    <w:rPr>
      <w:sz w:val="20"/>
      <w:szCs w:val="20"/>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7">
    <w:name w:val="无格式表格 31"/>
    <w:autoRedefine/>
    <w:qFormat/>
    <w:uiPriority w:val="99"/>
    <w:rPr>
      <w:sz w:val="20"/>
      <w:szCs w:val="20"/>
    </w:rPr>
    <w:tblPr>
      <w:tblCellMar>
        <w:top w:w="0" w:type="dxa"/>
        <w:left w:w="0" w:type="dxa"/>
        <w:bottom w:w="0" w:type="dxa"/>
        <w:right w:w="0" w:type="dxa"/>
      </w:tblCellMar>
    </w:tblPr>
  </w:style>
  <w:style w:type="table" w:customStyle="1" w:styleId="98">
    <w:name w:val="无格式表格 41"/>
    <w:autoRedefine/>
    <w:qFormat/>
    <w:uiPriority w:val="99"/>
    <w:rPr>
      <w:sz w:val="20"/>
      <w:szCs w:val="20"/>
    </w:rPr>
    <w:tblPr>
      <w:tblCellMar>
        <w:top w:w="0" w:type="dxa"/>
        <w:left w:w="0" w:type="dxa"/>
        <w:bottom w:w="0" w:type="dxa"/>
        <w:right w:w="0" w:type="dxa"/>
      </w:tblCellMar>
    </w:tblPr>
  </w:style>
  <w:style w:type="table" w:customStyle="1" w:styleId="99">
    <w:name w:val="无格式表格 51"/>
    <w:autoRedefine/>
    <w:qFormat/>
    <w:uiPriority w:val="99"/>
    <w:rPr>
      <w:sz w:val="20"/>
      <w:szCs w:val="20"/>
    </w:rPr>
    <w:tblPr>
      <w:tblCellMar>
        <w:top w:w="0" w:type="dxa"/>
        <w:left w:w="0" w:type="dxa"/>
        <w:bottom w:w="0" w:type="dxa"/>
        <w:right w:w="0" w:type="dxa"/>
      </w:tblCellMar>
    </w:tblPr>
  </w:style>
  <w:style w:type="table" w:customStyle="1" w:styleId="100">
    <w:name w:val="网格表 1 浅色1"/>
    <w:autoRedefine/>
    <w:qFormat/>
    <w:uiPriority w:val="99"/>
    <w:rPr>
      <w:sz w:val="20"/>
      <w:szCs w:val="20"/>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01">
    <w:name w:val="网格表 21"/>
    <w:autoRedefine/>
    <w:qFormat/>
    <w:uiPriority w:val="99"/>
    <w:rPr>
      <w:sz w:val="20"/>
      <w:szCs w:val="20"/>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2">
    <w:name w:val="网格表 31"/>
    <w:autoRedefine/>
    <w:qFormat/>
    <w:uiPriority w:val="99"/>
    <w:rPr>
      <w:sz w:val="20"/>
      <w:szCs w:val="20"/>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3">
    <w:name w:val="网格表 41"/>
    <w:autoRedefine/>
    <w:qFormat/>
    <w:uiPriority w:val="99"/>
    <w:rPr>
      <w:sz w:val="20"/>
      <w:szCs w:val="20"/>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04">
    <w:name w:val="网格表 5 深色1"/>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5">
    <w:name w:val="网格表 6 彩色1"/>
    <w:autoRedefine/>
    <w:qFormat/>
    <w:uiPriority w:val="99"/>
    <w:rPr>
      <w:sz w:val="20"/>
      <w:szCs w:val="20"/>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6">
    <w:name w:val="网格表 7 彩色1"/>
    <w:autoRedefine/>
    <w:qFormat/>
    <w:uiPriority w:val="99"/>
    <w:rPr>
      <w:sz w:val="20"/>
      <w:szCs w:val="20"/>
    </w:rPr>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7">
    <w:name w:val="清单表 1 浅色1"/>
    <w:autoRedefine/>
    <w:qFormat/>
    <w:uiPriority w:val="99"/>
    <w:rPr>
      <w:sz w:val="20"/>
      <w:szCs w:val="20"/>
    </w:rPr>
    <w:tblPr>
      <w:tblCellMar>
        <w:top w:w="0" w:type="dxa"/>
        <w:left w:w="0" w:type="dxa"/>
        <w:bottom w:w="0" w:type="dxa"/>
        <w:right w:w="0" w:type="dxa"/>
      </w:tblCellMar>
    </w:tblPr>
  </w:style>
  <w:style w:type="table" w:customStyle="1" w:styleId="108">
    <w:name w:val="清单表 21"/>
    <w:autoRedefine/>
    <w:qFormat/>
    <w:uiPriority w:val="99"/>
    <w:rPr>
      <w:sz w:val="20"/>
      <w:szCs w:val="20"/>
    </w:rPr>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09">
    <w:name w:val="清单表 31"/>
    <w:autoRedefine/>
    <w:qFormat/>
    <w:uiPriority w:val="99"/>
    <w:rPr>
      <w:sz w:val="20"/>
      <w:szCs w:val="20"/>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10">
    <w:name w:val="清单表 41"/>
    <w:autoRedefine/>
    <w:qFormat/>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11">
    <w:name w:val="清单表 5 深色1"/>
    <w:autoRedefine/>
    <w:qFormat/>
    <w:uiPriority w:val="99"/>
    <w:rPr>
      <w:sz w:val="20"/>
      <w:szCs w:val="20"/>
    </w:rPr>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12">
    <w:name w:val="清单表 6 彩色1"/>
    <w:autoRedefine/>
    <w:qFormat/>
    <w:uiPriority w:val="99"/>
    <w:rPr>
      <w:sz w:val="20"/>
      <w:szCs w:val="20"/>
    </w:rPr>
    <w:tblPr>
      <w:tblBorders>
        <w:top w:val="single" w:color="7F7F7F" w:sz="4" w:space="0"/>
        <w:bottom w:val="single" w:color="7F7F7F" w:sz="4" w:space="0"/>
      </w:tblBorders>
      <w:tblCellMar>
        <w:top w:w="0" w:type="dxa"/>
        <w:left w:w="0" w:type="dxa"/>
        <w:bottom w:w="0" w:type="dxa"/>
        <w:right w:w="0" w:type="dxa"/>
      </w:tblCellMar>
    </w:tblPr>
  </w:style>
  <w:style w:type="table" w:customStyle="1" w:styleId="113">
    <w:name w:val="清单表 7 彩色1"/>
    <w:autoRedefine/>
    <w:qFormat/>
    <w:uiPriority w:val="99"/>
    <w:rPr>
      <w:sz w:val="20"/>
      <w:szCs w:val="20"/>
    </w:rPr>
    <w:tblPr>
      <w:tblBorders>
        <w:right w:val="single" w:color="7F7F7F" w:sz="4" w:space="0"/>
      </w:tblBorders>
      <w:tblCellMar>
        <w:top w:w="0" w:type="dxa"/>
        <w:left w:w="0" w:type="dxa"/>
        <w:bottom w:w="0" w:type="dxa"/>
        <w:right w:w="0" w:type="dxa"/>
      </w:tblCellMar>
    </w:tblPr>
  </w:style>
  <w:style w:type="paragraph" w:customStyle="1" w:styleId="114">
    <w:name w:val="TOC 标题1"/>
    <w:autoRedefine/>
    <w:qFormat/>
    <w:uiPriority w:val="99"/>
    <w:rPr>
      <w:rFonts w:hint="default" w:ascii="Times New Roman" w:hAnsi="Times New Roman" w:eastAsia="宋体" w:cs="Times New Roman"/>
      <w:sz w:val="20"/>
      <w:szCs w:val="20"/>
      <w:lang w:val="en-US" w:eastAsia="zh-CN" w:bidi="ar-SA"/>
    </w:rPr>
  </w:style>
  <w:style w:type="paragraph" w:customStyle="1" w:styleId="115">
    <w:name w:val="正文 A"/>
    <w:next w:val="20"/>
    <w:autoRedefine/>
    <w:qFormat/>
    <w:uiPriority w:val="99"/>
    <w:pPr>
      <w:widowControl w:val="0"/>
      <w:jc w:val="both"/>
    </w:pPr>
    <w:rPr>
      <w:rFonts w:hint="default" w:ascii="Calibri" w:hAnsi="Calibri" w:eastAsia="宋体" w:cs="Calibri"/>
      <w:color w:val="000000"/>
      <w:sz w:val="21"/>
      <w:szCs w:val="21"/>
      <w:lang w:val="en-US" w:eastAsia="zh-CN" w:bidi="ar-SA"/>
    </w:rPr>
  </w:style>
  <w:style w:type="paragraph" w:customStyle="1" w:styleId="116">
    <w:name w:val="普通正文"/>
    <w:autoRedefine/>
    <w:qFormat/>
    <w:uiPriority w:val="99"/>
    <w:pPr>
      <w:widowControl w:val="0"/>
      <w:spacing w:before="120" w:after="120" w:line="360" w:lineRule="auto"/>
      <w:ind w:firstLine="480"/>
    </w:pPr>
    <w:rPr>
      <w:rFonts w:hint="default" w:ascii="Arial" w:hAnsi="Arial" w:eastAsia="宋体" w:cs="Arial"/>
      <w:sz w:val="24"/>
      <w:szCs w:val="24"/>
      <w:lang w:val="en-US" w:eastAsia="zh-CN" w:bidi="ar-SA"/>
    </w:rPr>
  </w:style>
  <w:style w:type="character" w:customStyle="1" w:styleId="117">
    <w:name w:val="Quote Char"/>
    <w:autoRedefine/>
    <w:qFormat/>
    <w:uiPriority w:val="99"/>
    <w:rPr>
      <w:i/>
      <w:iCs/>
    </w:rPr>
  </w:style>
  <w:style w:type="character" w:customStyle="1" w:styleId="118">
    <w:name w:val="Intense Quote Char"/>
    <w:autoRedefine/>
    <w:qFormat/>
    <w:uiPriority w:val="99"/>
    <w:rPr>
      <w:i/>
      <w:iCs/>
    </w:rPr>
  </w:style>
  <w:style w:type="character" w:customStyle="1" w:styleId="119">
    <w:name w:val="Caption Char"/>
    <w:autoRedefine/>
    <w:qFormat/>
    <w:uiPriority w:val="99"/>
  </w:style>
  <w:style w:type="paragraph" w:customStyle="1" w:styleId="120">
    <w:name w:val="TOC 标题111"/>
    <w:autoRedefine/>
    <w:qFormat/>
    <w:uiPriority w:val="99"/>
    <w:rPr>
      <w:rFonts w:hint="default" w:ascii="Calibri" w:hAnsi="Calibri" w:eastAsia="宋体" w:cs="Calibri"/>
      <w:sz w:val="20"/>
      <w:szCs w:val="20"/>
      <w:lang w:val="en-US" w:eastAsia="zh-CN" w:bidi="ar-SA"/>
    </w:rPr>
  </w:style>
  <w:style w:type="character" w:customStyle="1" w:styleId="121">
    <w:name w:val="Heading 2 Char1"/>
    <w:link w:val="4"/>
    <w:autoRedefine/>
    <w:qFormat/>
    <w:uiPriority w:val="99"/>
    <w:rPr>
      <w:rFonts w:ascii="Arial" w:hAnsi="Arial" w:cs="Arial"/>
      <w:sz w:val="34"/>
      <w:szCs w:val="34"/>
    </w:rPr>
  </w:style>
  <w:style w:type="character" w:customStyle="1" w:styleId="122">
    <w:name w:val="Heading 3 Char1"/>
    <w:link w:val="6"/>
    <w:autoRedefine/>
    <w:qFormat/>
    <w:uiPriority w:val="99"/>
    <w:rPr>
      <w:rFonts w:ascii="Arial" w:hAnsi="Arial" w:cs="Arial"/>
      <w:sz w:val="30"/>
      <w:szCs w:val="30"/>
    </w:rPr>
  </w:style>
  <w:style w:type="character" w:customStyle="1" w:styleId="123">
    <w:name w:val="Heading 4 Char1"/>
    <w:link w:val="7"/>
    <w:autoRedefine/>
    <w:qFormat/>
    <w:uiPriority w:val="99"/>
    <w:rPr>
      <w:rFonts w:ascii="Arial" w:hAnsi="Arial" w:cs="Arial"/>
      <w:b/>
      <w:bCs/>
      <w:sz w:val="26"/>
      <w:szCs w:val="26"/>
    </w:rPr>
  </w:style>
  <w:style w:type="character" w:customStyle="1" w:styleId="124">
    <w:name w:val="Heading 5 Char1"/>
    <w:link w:val="8"/>
    <w:autoRedefine/>
    <w:qFormat/>
    <w:uiPriority w:val="99"/>
    <w:rPr>
      <w:rFonts w:ascii="Arial" w:hAnsi="Arial" w:cs="Arial"/>
      <w:b/>
      <w:bCs/>
      <w:sz w:val="24"/>
      <w:szCs w:val="24"/>
    </w:rPr>
  </w:style>
  <w:style w:type="character" w:customStyle="1" w:styleId="125">
    <w:name w:val="Heading 6 Char1"/>
    <w:link w:val="9"/>
    <w:autoRedefine/>
    <w:qFormat/>
    <w:uiPriority w:val="99"/>
    <w:rPr>
      <w:rFonts w:ascii="Arial" w:hAnsi="Arial" w:cs="Arial"/>
      <w:b/>
      <w:bCs/>
      <w:sz w:val="22"/>
      <w:szCs w:val="22"/>
    </w:rPr>
  </w:style>
  <w:style w:type="character" w:customStyle="1" w:styleId="126">
    <w:name w:val="Heading 7 Char1"/>
    <w:link w:val="10"/>
    <w:autoRedefine/>
    <w:qFormat/>
    <w:uiPriority w:val="99"/>
    <w:rPr>
      <w:rFonts w:ascii="Arial" w:hAnsi="Arial" w:cs="Arial"/>
      <w:b/>
      <w:bCs/>
      <w:i/>
      <w:iCs/>
      <w:sz w:val="22"/>
      <w:szCs w:val="22"/>
    </w:rPr>
  </w:style>
  <w:style w:type="character" w:customStyle="1" w:styleId="127">
    <w:name w:val="Heading 8 Char1"/>
    <w:link w:val="11"/>
    <w:autoRedefine/>
    <w:qFormat/>
    <w:uiPriority w:val="99"/>
    <w:rPr>
      <w:rFonts w:ascii="Arial" w:hAnsi="Arial" w:cs="Arial"/>
      <w:i/>
      <w:iCs/>
      <w:sz w:val="22"/>
      <w:szCs w:val="22"/>
    </w:rPr>
  </w:style>
  <w:style w:type="character" w:customStyle="1" w:styleId="128">
    <w:name w:val="Heading 9 Char1"/>
    <w:link w:val="12"/>
    <w:autoRedefine/>
    <w:qFormat/>
    <w:uiPriority w:val="99"/>
    <w:rPr>
      <w:rFonts w:ascii="Arial" w:hAnsi="Arial" w:cs="Arial"/>
      <w:i/>
      <w:iCs/>
      <w:sz w:val="21"/>
      <w:szCs w:val="21"/>
    </w:rPr>
  </w:style>
  <w:style w:type="paragraph" w:styleId="129">
    <w:name w:val="List Paragraph"/>
    <w:basedOn w:val="1"/>
    <w:autoRedefine/>
    <w:qFormat/>
    <w:uiPriority w:val="99"/>
    <w:pPr>
      <w:ind w:left="720"/>
    </w:pPr>
  </w:style>
  <w:style w:type="paragraph" w:styleId="130">
    <w:name w:val="No Spacing"/>
    <w:autoRedefine/>
    <w:qFormat/>
    <w:uiPriority w:val="99"/>
    <w:rPr>
      <w:rFonts w:hint="default" w:ascii="Calibri" w:hAnsi="Calibri" w:eastAsia="宋体" w:cs="Calibri"/>
      <w:sz w:val="20"/>
      <w:szCs w:val="20"/>
      <w:lang w:val="en-US" w:eastAsia="zh-CN" w:bidi="ar-SA"/>
    </w:rPr>
  </w:style>
  <w:style w:type="character" w:customStyle="1" w:styleId="131">
    <w:name w:val="Title Char1"/>
    <w:link w:val="40"/>
    <w:autoRedefine/>
    <w:qFormat/>
    <w:uiPriority w:val="99"/>
    <w:rPr>
      <w:sz w:val="48"/>
      <w:szCs w:val="48"/>
    </w:rPr>
  </w:style>
  <w:style w:type="character" w:customStyle="1" w:styleId="132">
    <w:name w:val="Subtitle Char1"/>
    <w:link w:val="33"/>
    <w:autoRedefine/>
    <w:qFormat/>
    <w:uiPriority w:val="99"/>
    <w:rPr>
      <w:sz w:val="24"/>
      <w:szCs w:val="24"/>
    </w:rPr>
  </w:style>
  <w:style w:type="paragraph" w:styleId="133">
    <w:name w:val="Quote"/>
    <w:basedOn w:val="1"/>
    <w:next w:val="1"/>
    <w:link w:val="134"/>
    <w:autoRedefine/>
    <w:qFormat/>
    <w:uiPriority w:val="99"/>
    <w:pPr>
      <w:ind w:left="720" w:right="720"/>
    </w:pPr>
    <w:rPr>
      <w:rFonts w:ascii="Times New Roman" w:hAnsi="Times New Roman" w:cs="Times New Roman"/>
      <w:i/>
      <w:iCs/>
      <w:sz w:val="20"/>
      <w:szCs w:val="20"/>
    </w:rPr>
  </w:style>
  <w:style w:type="character" w:customStyle="1" w:styleId="134">
    <w:name w:val="Quote Char1"/>
    <w:basedOn w:val="45"/>
    <w:link w:val="133"/>
    <w:autoRedefine/>
    <w:qFormat/>
    <w:uiPriority w:val="99"/>
    <w:rPr>
      <w:i/>
      <w:iCs/>
    </w:rPr>
  </w:style>
  <w:style w:type="paragraph" w:styleId="135">
    <w:name w:val="Intense Quote"/>
    <w:basedOn w:val="1"/>
    <w:next w:val="1"/>
    <w:link w:val="136"/>
    <w:autoRedefine/>
    <w:qFormat/>
    <w:uiPriority w:val="99"/>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cs="Times New Roman"/>
      <w:i/>
      <w:iCs/>
      <w:sz w:val="20"/>
      <w:szCs w:val="20"/>
    </w:rPr>
  </w:style>
  <w:style w:type="character" w:customStyle="1" w:styleId="136">
    <w:name w:val="Intense Quote Char1"/>
    <w:basedOn w:val="45"/>
    <w:link w:val="135"/>
    <w:autoRedefine/>
    <w:qFormat/>
    <w:uiPriority w:val="99"/>
    <w:rPr>
      <w:i/>
      <w:iCs/>
    </w:rPr>
  </w:style>
  <w:style w:type="character" w:customStyle="1" w:styleId="137">
    <w:name w:val="Header Char1"/>
    <w:link w:val="30"/>
    <w:autoRedefine/>
    <w:qFormat/>
    <w:uiPriority w:val="99"/>
  </w:style>
  <w:style w:type="character" w:customStyle="1" w:styleId="138">
    <w:name w:val="Footer Char1"/>
    <w:link w:val="29"/>
    <w:autoRedefine/>
    <w:qFormat/>
    <w:uiPriority w:val="99"/>
  </w:style>
  <w:style w:type="table" w:customStyle="1" w:styleId="139">
    <w:name w:val="Table Grid Light"/>
    <w:autoRedefine/>
    <w:qFormat/>
    <w:uiPriority w:val="99"/>
    <w:rPr>
      <w:sz w:val="20"/>
      <w:szCs w:val="20"/>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40">
    <w:name w:val="Grid Table 1 Light - Accent 1"/>
    <w:autoRedefine/>
    <w:qFormat/>
    <w:uiPriority w:val="99"/>
    <w:rPr>
      <w:sz w:val="20"/>
      <w:szCs w:val="20"/>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41">
    <w:name w:val="Grid Table 1 Light - Accent 2"/>
    <w:autoRedefine/>
    <w:qFormat/>
    <w:uiPriority w:val="99"/>
    <w:rPr>
      <w:sz w:val="20"/>
      <w:szCs w:val="20"/>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42">
    <w:name w:val="Grid Table 1 Light - Accent 3"/>
    <w:autoRedefine/>
    <w:qFormat/>
    <w:uiPriority w:val="99"/>
    <w:rPr>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43">
    <w:name w:val="Grid Table 1 Light - Accent 4"/>
    <w:autoRedefine/>
    <w:qFormat/>
    <w:uiPriority w:val="99"/>
    <w:rPr>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44">
    <w:name w:val="Grid Table 1 Light - Accent 5"/>
    <w:qFormat/>
    <w:uiPriority w:val="99"/>
    <w:rPr>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45">
    <w:name w:val="Grid Table 1 Light - Accent 6"/>
    <w:autoRedefine/>
    <w:qFormat/>
    <w:uiPriority w:val="99"/>
    <w:rPr>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46">
    <w:name w:val="Grid Table 2 - Accent 1"/>
    <w:autoRedefine/>
    <w:qFormat/>
    <w:uiPriority w:val="99"/>
    <w:rPr>
      <w:sz w:val="20"/>
      <w:szCs w:val="20"/>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47">
    <w:name w:val="Grid Table 2 - Accent 2"/>
    <w:autoRedefine/>
    <w:qFormat/>
    <w:uiPriority w:val="99"/>
    <w:rPr>
      <w:sz w:val="20"/>
      <w:szCs w:val="20"/>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8">
    <w:name w:val="Grid Table 2 - Accent 3"/>
    <w:autoRedefine/>
    <w:qFormat/>
    <w:uiPriority w:val="99"/>
    <w:rPr>
      <w:sz w:val="20"/>
      <w:szCs w:val="20"/>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9">
    <w:name w:val="Grid Table 2 - Accent 4"/>
    <w:autoRedefine/>
    <w:qFormat/>
    <w:uiPriority w:val="99"/>
    <w:rPr>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0">
    <w:name w:val="Grid Table 2 - Accent 5"/>
    <w:autoRedefine/>
    <w:qFormat/>
    <w:uiPriority w:val="99"/>
    <w:rPr>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1">
    <w:name w:val="Grid Table 2 - Accent 6"/>
    <w:qFormat/>
    <w:uiPriority w:val="99"/>
    <w:rPr>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2">
    <w:name w:val="Grid Table 3 - Accent 1"/>
    <w:autoRedefine/>
    <w:qFormat/>
    <w:uiPriority w:val="99"/>
    <w:rPr>
      <w:sz w:val="20"/>
      <w:szCs w:val="20"/>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53">
    <w:name w:val="Grid Table 3 - Accent 2"/>
    <w:autoRedefine/>
    <w:qFormat/>
    <w:uiPriority w:val="99"/>
    <w:rPr>
      <w:sz w:val="20"/>
      <w:szCs w:val="20"/>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4">
    <w:name w:val="Grid Table 3 - Accent 3"/>
    <w:autoRedefine/>
    <w:qFormat/>
    <w:uiPriority w:val="99"/>
    <w:rPr>
      <w:sz w:val="20"/>
      <w:szCs w:val="20"/>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5">
    <w:name w:val="Grid Table 3 - Accent 4"/>
    <w:autoRedefine/>
    <w:qFormat/>
    <w:uiPriority w:val="99"/>
    <w:rPr>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6">
    <w:name w:val="Grid Table 3 - Accent 5"/>
    <w:autoRedefine/>
    <w:qFormat/>
    <w:uiPriority w:val="99"/>
    <w:rPr>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7">
    <w:name w:val="Grid Table 3 - Accent 6"/>
    <w:autoRedefine/>
    <w:qFormat/>
    <w:uiPriority w:val="99"/>
    <w:rPr>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8">
    <w:name w:val="Grid Table 4 - Accent 1"/>
    <w:autoRedefine/>
    <w:qFormat/>
    <w:uiPriority w:val="99"/>
    <w:rPr>
      <w:sz w:val="20"/>
      <w:szCs w:val="20"/>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59">
    <w:name w:val="Grid Table 4 - Accent 2"/>
    <w:autoRedefine/>
    <w:qFormat/>
    <w:uiPriority w:val="99"/>
    <w:rPr>
      <w:sz w:val="20"/>
      <w:szCs w:val="20"/>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60">
    <w:name w:val="Grid Table 4 - Accent 3"/>
    <w:autoRedefine/>
    <w:qFormat/>
    <w:uiPriority w:val="99"/>
    <w:rPr>
      <w:sz w:val="20"/>
      <w:szCs w:val="20"/>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61">
    <w:name w:val="Grid Table 4 - Accent 4"/>
    <w:qFormat/>
    <w:uiPriority w:val="99"/>
    <w:rPr>
      <w:sz w:val="20"/>
      <w:szCs w:val="20"/>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62">
    <w:name w:val="Grid Table 4 - Accent 5"/>
    <w:autoRedefine/>
    <w:qFormat/>
    <w:uiPriority w:val="99"/>
    <w:rPr>
      <w:sz w:val="20"/>
      <w:szCs w:val="20"/>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3">
    <w:name w:val="Grid Table 4 - Accent 6"/>
    <w:autoRedefine/>
    <w:qFormat/>
    <w:uiPriority w:val="99"/>
    <w:rPr>
      <w:sz w:val="20"/>
      <w:szCs w:val="20"/>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4">
    <w:name w:val="Grid Table 5 Dark- Accent 1"/>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5">
    <w:name w:val="Grid Table 5 Dark - Accent 2"/>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6">
    <w:name w:val="Grid Table 5 Dark - Accent 3"/>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7">
    <w:name w:val="Grid Table 5 Dark- Accent 4"/>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8">
    <w:name w:val="Grid Table 5 Dark - Accent 5"/>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9">
    <w:name w:val="Grid Table 5 Dark - Accent 6"/>
    <w:autoRedefine/>
    <w:qFormat/>
    <w:uiPriority w:val="99"/>
    <w:rPr>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70">
    <w:name w:val="Grid Table 6 Colorful - Accent 1"/>
    <w:autoRedefine/>
    <w:qFormat/>
    <w:uiPriority w:val="99"/>
    <w:rPr>
      <w:sz w:val="20"/>
      <w:szCs w:val="20"/>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71">
    <w:name w:val="Grid Table 6 Colorful - Accent 2"/>
    <w:autoRedefine/>
    <w:qFormat/>
    <w:uiPriority w:val="99"/>
    <w:rPr>
      <w:sz w:val="20"/>
      <w:szCs w:val="20"/>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72">
    <w:name w:val="Grid Table 6 Colorful - Accent 3"/>
    <w:autoRedefine/>
    <w:qFormat/>
    <w:uiPriority w:val="99"/>
    <w:rPr>
      <w:sz w:val="20"/>
      <w:szCs w:val="20"/>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73">
    <w:name w:val="Grid Table 6 Colorful - Accent 4"/>
    <w:autoRedefine/>
    <w:qFormat/>
    <w:uiPriority w:val="99"/>
    <w:rPr>
      <w:sz w:val="20"/>
      <w:szCs w:val="20"/>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74">
    <w:name w:val="Grid Table 6 Colorful - Accent 5"/>
    <w:autoRedefine/>
    <w:uiPriority w:val="99"/>
    <w:rPr>
      <w:sz w:val="20"/>
      <w:szCs w:val="20"/>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75">
    <w:name w:val="Grid Table 6 Colorful - Accent 6"/>
    <w:uiPriority w:val="99"/>
    <w:rPr>
      <w:sz w:val="20"/>
      <w:szCs w:val="20"/>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76">
    <w:name w:val="Grid Table 7 Colorful - Accent 1"/>
    <w:qFormat/>
    <w:uiPriority w:val="99"/>
    <w:rPr>
      <w:sz w:val="20"/>
      <w:szCs w:val="20"/>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77">
    <w:name w:val="Grid Table 7 Colorful - Accent 2"/>
    <w:qFormat/>
    <w:uiPriority w:val="99"/>
    <w:rPr>
      <w:sz w:val="20"/>
      <w:szCs w:val="20"/>
    </w:rPr>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78">
    <w:name w:val="Grid Table 7 Colorful - Accent 3"/>
    <w:uiPriority w:val="99"/>
    <w:rPr>
      <w:sz w:val="20"/>
      <w:szCs w:val="20"/>
    </w:rPr>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79">
    <w:name w:val="Grid Table 7 Colorful - Accent 4"/>
    <w:uiPriority w:val="99"/>
    <w:rPr>
      <w:sz w:val="20"/>
      <w:szCs w:val="20"/>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80">
    <w:name w:val="Grid Table 7 Colorful - Accent 5"/>
    <w:uiPriority w:val="99"/>
    <w:rPr>
      <w:sz w:val="20"/>
      <w:szCs w:val="20"/>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81">
    <w:name w:val="Grid Table 7 Colorful - Accent 6"/>
    <w:qFormat/>
    <w:uiPriority w:val="99"/>
    <w:rPr>
      <w:sz w:val="20"/>
      <w:szCs w:val="20"/>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82">
    <w:name w:val="List Table 1 Light - Accent 1"/>
    <w:qFormat/>
    <w:uiPriority w:val="99"/>
    <w:rPr>
      <w:sz w:val="20"/>
      <w:szCs w:val="20"/>
    </w:rPr>
    <w:tblPr>
      <w:tblCellMar>
        <w:top w:w="0" w:type="dxa"/>
        <w:left w:w="0" w:type="dxa"/>
        <w:bottom w:w="0" w:type="dxa"/>
        <w:right w:w="0" w:type="dxa"/>
      </w:tblCellMar>
    </w:tblPr>
  </w:style>
  <w:style w:type="table" w:customStyle="1" w:styleId="183">
    <w:name w:val="List Table 1 Light - Accent 2"/>
    <w:qFormat/>
    <w:uiPriority w:val="99"/>
    <w:rPr>
      <w:sz w:val="20"/>
      <w:szCs w:val="20"/>
    </w:rPr>
    <w:tblPr>
      <w:tblCellMar>
        <w:top w:w="0" w:type="dxa"/>
        <w:left w:w="0" w:type="dxa"/>
        <w:bottom w:w="0" w:type="dxa"/>
        <w:right w:w="0" w:type="dxa"/>
      </w:tblCellMar>
    </w:tblPr>
  </w:style>
  <w:style w:type="table" w:customStyle="1" w:styleId="184">
    <w:name w:val="List Table 1 Light - Accent 3"/>
    <w:autoRedefine/>
    <w:qFormat/>
    <w:uiPriority w:val="99"/>
    <w:rPr>
      <w:sz w:val="20"/>
      <w:szCs w:val="20"/>
    </w:rPr>
    <w:tblPr>
      <w:tblCellMar>
        <w:top w:w="0" w:type="dxa"/>
        <w:left w:w="0" w:type="dxa"/>
        <w:bottom w:w="0" w:type="dxa"/>
        <w:right w:w="0" w:type="dxa"/>
      </w:tblCellMar>
    </w:tblPr>
  </w:style>
  <w:style w:type="table" w:customStyle="1" w:styleId="185">
    <w:name w:val="List Table 1 Light - Accent 4"/>
    <w:uiPriority w:val="99"/>
    <w:rPr>
      <w:sz w:val="20"/>
      <w:szCs w:val="20"/>
    </w:rPr>
    <w:tblPr>
      <w:tblCellMar>
        <w:top w:w="0" w:type="dxa"/>
        <w:left w:w="0" w:type="dxa"/>
        <w:bottom w:w="0" w:type="dxa"/>
        <w:right w:w="0" w:type="dxa"/>
      </w:tblCellMar>
    </w:tblPr>
  </w:style>
  <w:style w:type="table" w:customStyle="1" w:styleId="186">
    <w:name w:val="List Table 1 Light - Accent 5"/>
    <w:uiPriority w:val="99"/>
    <w:rPr>
      <w:sz w:val="20"/>
      <w:szCs w:val="20"/>
    </w:rPr>
    <w:tblPr>
      <w:tblCellMar>
        <w:top w:w="0" w:type="dxa"/>
        <w:left w:w="0" w:type="dxa"/>
        <w:bottom w:w="0" w:type="dxa"/>
        <w:right w:w="0" w:type="dxa"/>
      </w:tblCellMar>
    </w:tblPr>
  </w:style>
  <w:style w:type="table" w:customStyle="1" w:styleId="187">
    <w:name w:val="List Table 1 Light - Accent 6"/>
    <w:uiPriority w:val="99"/>
    <w:rPr>
      <w:sz w:val="20"/>
      <w:szCs w:val="20"/>
    </w:rPr>
    <w:tblPr>
      <w:tblCellMar>
        <w:top w:w="0" w:type="dxa"/>
        <w:left w:w="0" w:type="dxa"/>
        <w:bottom w:w="0" w:type="dxa"/>
        <w:right w:w="0" w:type="dxa"/>
      </w:tblCellMar>
    </w:tblPr>
  </w:style>
  <w:style w:type="table" w:customStyle="1" w:styleId="188">
    <w:name w:val="List Table 2 - Accent 1"/>
    <w:qFormat/>
    <w:uiPriority w:val="99"/>
    <w:rPr>
      <w:sz w:val="20"/>
      <w:szCs w:val="20"/>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89">
    <w:name w:val="List Table 2 - Accent 2"/>
    <w:qFormat/>
    <w:uiPriority w:val="99"/>
    <w:rPr>
      <w:sz w:val="20"/>
      <w:szCs w:val="20"/>
    </w:rPr>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90">
    <w:name w:val="List Table 2 - Accent 3"/>
    <w:qFormat/>
    <w:uiPriority w:val="99"/>
    <w:rPr>
      <w:sz w:val="20"/>
      <w:szCs w:val="20"/>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91">
    <w:name w:val="List Table 2 - Accent 4"/>
    <w:qFormat/>
    <w:uiPriority w:val="99"/>
    <w:rPr>
      <w:sz w:val="20"/>
      <w:szCs w:val="20"/>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92">
    <w:name w:val="List Table 2 - Accent 5"/>
    <w:qFormat/>
    <w:uiPriority w:val="99"/>
    <w:rPr>
      <w:sz w:val="20"/>
      <w:szCs w:val="20"/>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93">
    <w:name w:val="List Table 2 - Accent 6"/>
    <w:uiPriority w:val="99"/>
    <w:rPr>
      <w:sz w:val="20"/>
      <w:szCs w:val="20"/>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94">
    <w:name w:val="List Table 3 - Accent 1"/>
    <w:uiPriority w:val="99"/>
    <w:rPr>
      <w:sz w:val="20"/>
      <w:szCs w:val="20"/>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95">
    <w:name w:val="List Table 3 - Accent 2"/>
    <w:qFormat/>
    <w:uiPriority w:val="99"/>
    <w:rPr>
      <w:sz w:val="20"/>
      <w:szCs w:val="20"/>
    </w:rPr>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96">
    <w:name w:val="List Table 3 - Accent 3"/>
    <w:qFormat/>
    <w:uiPriority w:val="99"/>
    <w:rPr>
      <w:sz w:val="20"/>
      <w:szCs w:val="20"/>
    </w:rPr>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97">
    <w:name w:val="List Table 3 - Accent 4"/>
    <w:uiPriority w:val="99"/>
    <w:rPr>
      <w:sz w:val="20"/>
      <w:szCs w:val="20"/>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98">
    <w:name w:val="List Table 3 - Accent 5"/>
    <w:qFormat/>
    <w:uiPriority w:val="99"/>
    <w:rPr>
      <w:sz w:val="20"/>
      <w:szCs w:val="20"/>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99">
    <w:name w:val="List Table 3 - Accent 6"/>
    <w:qFormat/>
    <w:uiPriority w:val="99"/>
    <w:rPr>
      <w:sz w:val="20"/>
      <w:szCs w:val="20"/>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200">
    <w:name w:val="List Table 4 - Accent 1"/>
    <w:uiPriority w:val="99"/>
    <w:rPr>
      <w:sz w:val="20"/>
      <w:szCs w:val="20"/>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201">
    <w:name w:val="List Table 4 - Accent 2"/>
    <w:qFormat/>
    <w:uiPriority w:val="99"/>
    <w:rPr>
      <w:sz w:val="20"/>
      <w:szCs w:val="20"/>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202">
    <w:name w:val="List Table 4 - Accent 3"/>
    <w:qFormat/>
    <w:uiPriority w:val="99"/>
    <w:rPr>
      <w:sz w:val="20"/>
      <w:szCs w:val="20"/>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203">
    <w:name w:val="List Table 4 - Accent 4"/>
    <w:qFormat/>
    <w:uiPriority w:val="99"/>
    <w:rPr>
      <w:sz w:val="20"/>
      <w:szCs w:val="20"/>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204">
    <w:name w:val="List Table 4 - Accent 5"/>
    <w:qFormat/>
    <w:uiPriority w:val="99"/>
    <w:rPr>
      <w:sz w:val="20"/>
      <w:szCs w:val="20"/>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205">
    <w:name w:val="List Table 4 - Accent 6"/>
    <w:qFormat/>
    <w:uiPriority w:val="99"/>
    <w:rPr>
      <w:sz w:val="20"/>
      <w:szCs w:val="20"/>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206">
    <w:name w:val="List Table 5 Dark - Accent 1"/>
    <w:qFormat/>
    <w:uiPriority w:val="99"/>
    <w:rPr>
      <w:sz w:val="20"/>
      <w:szCs w:val="20"/>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07">
    <w:name w:val="List Table 5 Dark - Accent 2"/>
    <w:qFormat/>
    <w:uiPriority w:val="99"/>
    <w:rPr>
      <w:sz w:val="20"/>
      <w:szCs w:val="20"/>
    </w:rPr>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8">
    <w:name w:val="List Table 5 Dark - Accent 3"/>
    <w:autoRedefine/>
    <w:qFormat/>
    <w:uiPriority w:val="99"/>
    <w:rPr>
      <w:sz w:val="20"/>
      <w:szCs w:val="20"/>
    </w:rPr>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9">
    <w:name w:val="List Table 5 Dark - Accent 4"/>
    <w:qFormat/>
    <w:uiPriority w:val="99"/>
    <w:rPr>
      <w:sz w:val="20"/>
      <w:szCs w:val="20"/>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10">
    <w:name w:val="List Table 5 Dark - Accent 5"/>
    <w:uiPriority w:val="99"/>
    <w:rPr>
      <w:sz w:val="20"/>
      <w:szCs w:val="20"/>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11">
    <w:name w:val="List Table 5 Dark - Accent 6"/>
    <w:qFormat/>
    <w:uiPriority w:val="99"/>
    <w:rPr>
      <w:sz w:val="20"/>
      <w:szCs w:val="20"/>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12">
    <w:name w:val="List Table 6 Colorful - Accent 1"/>
    <w:uiPriority w:val="99"/>
    <w:rPr>
      <w:sz w:val="20"/>
      <w:szCs w:val="20"/>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213">
    <w:name w:val="List Table 6 Colorful - Accent 2"/>
    <w:qFormat/>
    <w:uiPriority w:val="99"/>
    <w:rPr>
      <w:sz w:val="20"/>
      <w:szCs w:val="20"/>
    </w:rPr>
    <w:tblPr>
      <w:tblBorders>
        <w:top w:val="single" w:color="D99695" w:sz="4" w:space="0"/>
        <w:bottom w:val="single" w:color="D99695" w:sz="4" w:space="0"/>
      </w:tblBorders>
      <w:tblCellMar>
        <w:top w:w="0" w:type="dxa"/>
        <w:left w:w="0" w:type="dxa"/>
        <w:bottom w:w="0" w:type="dxa"/>
        <w:right w:w="0" w:type="dxa"/>
      </w:tblCellMar>
    </w:tblPr>
  </w:style>
  <w:style w:type="table" w:customStyle="1" w:styleId="214">
    <w:name w:val="List Table 6 Colorful - Accent 3"/>
    <w:qFormat/>
    <w:uiPriority w:val="99"/>
    <w:rPr>
      <w:sz w:val="20"/>
      <w:szCs w:val="20"/>
    </w:rPr>
    <w:tblPr>
      <w:tblBorders>
        <w:top w:val="single" w:color="C3D69B" w:sz="4" w:space="0"/>
        <w:bottom w:val="single" w:color="C3D69B" w:sz="4" w:space="0"/>
      </w:tblBorders>
      <w:tblCellMar>
        <w:top w:w="0" w:type="dxa"/>
        <w:left w:w="0" w:type="dxa"/>
        <w:bottom w:w="0" w:type="dxa"/>
        <w:right w:w="0" w:type="dxa"/>
      </w:tblCellMar>
    </w:tblPr>
  </w:style>
  <w:style w:type="table" w:customStyle="1" w:styleId="215">
    <w:name w:val="List Table 6 Colorful - Accent 4"/>
    <w:qFormat/>
    <w:uiPriority w:val="99"/>
    <w:rPr>
      <w:sz w:val="20"/>
      <w:szCs w:val="20"/>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216">
    <w:name w:val="List Table 6 Colorful - Accent 5"/>
    <w:qFormat/>
    <w:uiPriority w:val="99"/>
    <w:rPr>
      <w:sz w:val="20"/>
      <w:szCs w:val="20"/>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217">
    <w:name w:val="List Table 6 Colorful - Accent 6"/>
    <w:qFormat/>
    <w:uiPriority w:val="99"/>
    <w:rPr>
      <w:sz w:val="20"/>
      <w:szCs w:val="20"/>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218">
    <w:name w:val="List Table 7 Colorful - Accent 1"/>
    <w:qFormat/>
    <w:uiPriority w:val="99"/>
    <w:rPr>
      <w:sz w:val="20"/>
      <w:szCs w:val="20"/>
    </w:rPr>
    <w:tblPr>
      <w:tblBorders>
        <w:right w:val="single" w:color="4F81BD" w:sz="4" w:space="0"/>
      </w:tblBorders>
      <w:tblCellMar>
        <w:top w:w="0" w:type="dxa"/>
        <w:left w:w="0" w:type="dxa"/>
        <w:bottom w:w="0" w:type="dxa"/>
        <w:right w:w="0" w:type="dxa"/>
      </w:tblCellMar>
    </w:tblPr>
  </w:style>
  <w:style w:type="table" w:customStyle="1" w:styleId="219">
    <w:name w:val="List Table 7 Colorful - Accent 2"/>
    <w:qFormat/>
    <w:uiPriority w:val="99"/>
    <w:rPr>
      <w:sz w:val="20"/>
      <w:szCs w:val="20"/>
    </w:rPr>
    <w:tblPr>
      <w:tblBorders>
        <w:right w:val="single" w:color="D99695" w:sz="4" w:space="0"/>
      </w:tblBorders>
      <w:tblCellMar>
        <w:top w:w="0" w:type="dxa"/>
        <w:left w:w="0" w:type="dxa"/>
        <w:bottom w:w="0" w:type="dxa"/>
        <w:right w:w="0" w:type="dxa"/>
      </w:tblCellMar>
    </w:tblPr>
  </w:style>
  <w:style w:type="table" w:customStyle="1" w:styleId="220">
    <w:name w:val="List Table 7 Colorful - Accent 3"/>
    <w:qFormat/>
    <w:uiPriority w:val="99"/>
    <w:rPr>
      <w:sz w:val="20"/>
      <w:szCs w:val="20"/>
    </w:rPr>
    <w:tblPr>
      <w:tblBorders>
        <w:right w:val="single" w:color="C3D69B" w:sz="4" w:space="0"/>
      </w:tblBorders>
      <w:tblCellMar>
        <w:top w:w="0" w:type="dxa"/>
        <w:left w:w="0" w:type="dxa"/>
        <w:bottom w:w="0" w:type="dxa"/>
        <w:right w:w="0" w:type="dxa"/>
      </w:tblCellMar>
    </w:tblPr>
  </w:style>
  <w:style w:type="table" w:customStyle="1" w:styleId="221">
    <w:name w:val="List Table 7 Colorful - Accent 4"/>
    <w:qFormat/>
    <w:uiPriority w:val="99"/>
    <w:rPr>
      <w:sz w:val="20"/>
      <w:szCs w:val="20"/>
    </w:rPr>
    <w:tblPr>
      <w:tblBorders>
        <w:right w:val="single" w:color="B2A1C6" w:sz="4" w:space="0"/>
      </w:tblBorders>
      <w:tblCellMar>
        <w:top w:w="0" w:type="dxa"/>
        <w:left w:w="0" w:type="dxa"/>
        <w:bottom w:w="0" w:type="dxa"/>
        <w:right w:w="0" w:type="dxa"/>
      </w:tblCellMar>
    </w:tblPr>
  </w:style>
  <w:style w:type="table" w:customStyle="1" w:styleId="222">
    <w:name w:val="List Table 7 Colorful - Accent 5"/>
    <w:qFormat/>
    <w:uiPriority w:val="99"/>
    <w:rPr>
      <w:sz w:val="20"/>
      <w:szCs w:val="20"/>
    </w:rPr>
    <w:tblPr>
      <w:tblBorders>
        <w:right w:val="single" w:color="92CCDC" w:sz="4" w:space="0"/>
      </w:tblBorders>
      <w:tblCellMar>
        <w:top w:w="0" w:type="dxa"/>
        <w:left w:w="0" w:type="dxa"/>
        <w:bottom w:w="0" w:type="dxa"/>
        <w:right w:w="0" w:type="dxa"/>
      </w:tblCellMar>
    </w:tblPr>
  </w:style>
  <w:style w:type="table" w:customStyle="1" w:styleId="223">
    <w:name w:val="List Table 7 Colorful - Accent 6"/>
    <w:qFormat/>
    <w:uiPriority w:val="99"/>
    <w:rPr>
      <w:sz w:val="20"/>
      <w:szCs w:val="20"/>
    </w:rPr>
    <w:tblPr>
      <w:tblBorders>
        <w:right w:val="single" w:color="FAC090" w:sz="4" w:space="0"/>
      </w:tblBorders>
      <w:tblCellMar>
        <w:top w:w="0" w:type="dxa"/>
        <w:left w:w="0" w:type="dxa"/>
        <w:bottom w:w="0" w:type="dxa"/>
        <w:right w:w="0" w:type="dxa"/>
      </w:tblCellMar>
    </w:tblPr>
  </w:style>
  <w:style w:type="table" w:customStyle="1" w:styleId="224">
    <w:name w:val="Lined - Accent"/>
    <w:uiPriority w:val="99"/>
    <w:rPr>
      <w:color w:val="404040"/>
      <w:sz w:val="20"/>
      <w:szCs w:val="20"/>
    </w:rPr>
    <w:tblPr>
      <w:tblCellMar>
        <w:top w:w="0" w:type="dxa"/>
        <w:left w:w="0" w:type="dxa"/>
        <w:bottom w:w="0" w:type="dxa"/>
        <w:right w:w="0" w:type="dxa"/>
      </w:tblCellMar>
    </w:tblPr>
  </w:style>
  <w:style w:type="table" w:customStyle="1" w:styleId="225">
    <w:name w:val="Lined - Accent 1"/>
    <w:qFormat/>
    <w:uiPriority w:val="99"/>
    <w:rPr>
      <w:color w:val="404040"/>
      <w:sz w:val="20"/>
      <w:szCs w:val="20"/>
    </w:rPr>
    <w:tblPr>
      <w:tblCellMar>
        <w:top w:w="0" w:type="dxa"/>
        <w:left w:w="0" w:type="dxa"/>
        <w:bottom w:w="0" w:type="dxa"/>
        <w:right w:w="0" w:type="dxa"/>
      </w:tblCellMar>
    </w:tblPr>
  </w:style>
  <w:style w:type="table" w:customStyle="1" w:styleId="226">
    <w:name w:val="Lined - Accent 2"/>
    <w:qFormat/>
    <w:uiPriority w:val="99"/>
    <w:rPr>
      <w:color w:val="404040"/>
      <w:sz w:val="20"/>
      <w:szCs w:val="20"/>
    </w:rPr>
    <w:tblPr>
      <w:tblCellMar>
        <w:top w:w="0" w:type="dxa"/>
        <w:left w:w="0" w:type="dxa"/>
        <w:bottom w:w="0" w:type="dxa"/>
        <w:right w:w="0" w:type="dxa"/>
      </w:tblCellMar>
    </w:tblPr>
  </w:style>
  <w:style w:type="table" w:customStyle="1" w:styleId="227">
    <w:name w:val="Lined - Accent 3"/>
    <w:qFormat/>
    <w:uiPriority w:val="99"/>
    <w:rPr>
      <w:color w:val="404040"/>
      <w:sz w:val="20"/>
      <w:szCs w:val="20"/>
    </w:rPr>
    <w:tblPr>
      <w:tblCellMar>
        <w:top w:w="0" w:type="dxa"/>
        <w:left w:w="0" w:type="dxa"/>
        <w:bottom w:w="0" w:type="dxa"/>
        <w:right w:w="0" w:type="dxa"/>
      </w:tblCellMar>
    </w:tblPr>
  </w:style>
  <w:style w:type="table" w:customStyle="1" w:styleId="228">
    <w:name w:val="Lined - Accent 4"/>
    <w:qFormat/>
    <w:uiPriority w:val="99"/>
    <w:rPr>
      <w:color w:val="404040"/>
      <w:sz w:val="20"/>
      <w:szCs w:val="20"/>
    </w:rPr>
    <w:tblPr>
      <w:tblCellMar>
        <w:top w:w="0" w:type="dxa"/>
        <w:left w:w="0" w:type="dxa"/>
        <w:bottom w:w="0" w:type="dxa"/>
        <w:right w:w="0" w:type="dxa"/>
      </w:tblCellMar>
    </w:tblPr>
  </w:style>
  <w:style w:type="table" w:customStyle="1" w:styleId="229">
    <w:name w:val="Lined - Accent 5"/>
    <w:qFormat/>
    <w:uiPriority w:val="99"/>
    <w:rPr>
      <w:color w:val="404040"/>
      <w:sz w:val="20"/>
      <w:szCs w:val="20"/>
    </w:rPr>
    <w:tblPr>
      <w:tblCellMar>
        <w:top w:w="0" w:type="dxa"/>
        <w:left w:w="0" w:type="dxa"/>
        <w:bottom w:w="0" w:type="dxa"/>
        <w:right w:w="0" w:type="dxa"/>
      </w:tblCellMar>
    </w:tblPr>
  </w:style>
  <w:style w:type="table" w:customStyle="1" w:styleId="230">
    <w:name w:val="Lined - Accent 6"/>
    <w:qFormat/>
    <w:uiPriority w:val="99"/>
    <w:rPr>
      <w:color w:val="404040"/>
      <w:sz w:val="20"/>
      <w:szCs w:val="20"/>
    </w:rPr>
    <w:tblPr>
      <w:tblCellMar>
        <w:top w:w="0" w:type="dxa"/>
        <w:left w:w="0" w:type="dxa"/>
        <w:bottom w:w="0" w:type="dxa"/>
        <w:right w:w="0" w:type="dxa"/>
      </w:tblCellMar>
    </w:tblPr>
  </w:style>
  <w:style w:type="table" w:customStyle="1" w:styleId="231">
    <w:name w:val="Bordered &amp; Lined - Accent"/>
    <w:qFormat/>
    <w:uiPriority w:val="99"/>
    <w:rPr>
      <w:color w:val="404040"/>
      <w:sz w:val="20"/>
      <w:szCs w:val="2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32">
    <w:name w:val="Bordered &amp; Lined - Accent 1"/>
    <w:qFormat/>
    <w:uiPriority w:val="99"/>
    <w:rPr>
      <w:color w:val="404040"/>
      <w:sz w:val="20"/>
      <w:szCs w:val="2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33">
    <w:name w:val="Bordered &amp; Lined - Accent 2"/>
    <w:qFormat/>
    <w:uiPriority w:val="99"/>
    <w:rPr>
      <w:color w:val="404040"/>
      <w:sz w:val="20"/>
      <w:szCs w:val="2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34">
    <w:name w:val="Bordered &amp; Lined - Accent 3"/>
    <w:uiPriority w:val="99"/>
    <w:rPr>
      <w:color w:val="404040"/>
      <w:sz w:val="20"/>
      <w:szCs w:val="2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35">
    <w:name w:val="Bordered &amp; Lined - Accent 4"/>
    <w:uiPriority w:val="99"/>
    <w:rPr>
      <w:color w:val="404040"/>
      <w:sz w:val="20"/>
      <w:szCs w:val="2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6">
    <w:name w:val="Bordered &amp; Lined - Accent 5"/>
    <w:qFormat/>
    <w:uiPriority w:val="99"/>
    <w:rPr>
      <w:color w:val="404040"/>
      <w:sz w:val="20"/>
      <w:szCs w:val="2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7">
    <w:name w:val="Bordered &amp; Lined - Accent 6"/>
    <w:uiPriority w:val="99"/>
    <w:rPr>
      <w:color w:val="404040"/>
      <w:sz w:val="20"/>
      <w:szCs w:val="2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38">
    <w:name w:val="Bordered"/>
    <w:uiPriority w:val="99"/>
    <w:rPr>
      <w:sz w:val="20"/>
      <w:szCs w:val="20"/>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39">
    <w:name w:val="Bordered - Accent 1"/>
    <w:qFormat/>
    <w:uiPriority w:val="99"/>
    <w:rPr>
      <w:sz w:val="20"/>
      <w:szCs w:val="20"/>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40">
    <w:name w:val="Bordered - Accent 2"/>
    <w:qFormat/>
    <w:uiPriority w:val="99"/>
    <w:rPr>
      <w:sz w:val="20"/>
      <w:szCs w:val="20"/>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41">
    <w:name w:val="Bordered - Accent 3"/>
    <w:qFormat/>
    <w:uiPriority w:val="99"/>
    <w:rPr>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42">
    <w:name w:val="Bordered - Accent 4"/>
    <w:uiPriority w:val="99"/>
    <w:rPr>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43">
    <w:name w:val="Bordered - Accent 5"/>
    <w:qFormat/>
    <w:uiPriority w:val="99"/>
    <w:rPr>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44">
    <w:name w:val="Bordered - Accent 6"/>
    <w:autoRedefine/>
    <w:uiPriority w:val="99"/>
    <w:rPr>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45">
    <w:name w:val="Footnote Text Char1"/>
    <w:link w:val="34"/>
    <w:qFormat/>
    <w:uiPriority w:val="99"/>
    <w:rPr>
      <w:sz w:val="18"/>
      <w:szCs w:val="18"/>
    </w:rPr>
  </w:style>
  <w:style w:type="character" w:customStyle="1" w:styleId="246">
    <w:name w:val="Endnote Text Char1"/>
    <w:link w:val="27"/>
    <w:qFormat/>
    <w:uiPriority w:val="99"/>
    <w:rPr>
      <w:sz w:val="20"/>
      <w:szCs w:val="20"/>
    </w:rPr>
  </w:style>
  <w:style w:type="paragraph" w:customStyle="1" w:styleId="247">
    <w:name w:val="TOC 标题11"/>
    <w:basedOn w:val="3"/>
    <w:next w:val="1"/>
    <w:qFormat/>
    <w:uiPriority w:val="99"/>
    <w:pPr>
      <w:outlineLvl w:val="9"/>
    </w:pPr>
  </w:style>
  <w:style w:type="character" w:customStyle="1" w:styleId="248">
    <w:name w:val="Heading 1 Char1"/>
    <w:link w:val="3"/>
    <w:qFormat/>
    <w:uiPriority w:val="99"/>
    <w:rPr>
      <w:b/>
      <w:bCs/>
      <w:sz w:val="44"/>
      <w:szCs w:val="44"/>
    </w:rPr>
  </w:style>
  <w:style w:type="character" w:customStyle="1" w:styleId="249">
    <w:name w:val="Normal Indent Char"/>
    <w:link w:val="5"/>
    <w:qFormat/>
    <w:uiPriority w:val="99"/>
    <w:rPr>
      <w:sz w:val="24"/>
      <w:szCs w:val="24"/>
    </w:rPr>
  </w:style>
  <w:style w:type="paragraph" w:customStyle="1" w:styleId="250">
    <w:name w:val="正文1"/>
    <w:basedOn w:val="1"/>
    <w:qFormat/>
    <w:uiPriority w:val="99"/>
    <w:pPr>
      <w:widowControl/>
      <w:spacing w:line="440" w:lineRule="exact"/>
      <w:ind w:right="-167"/>
    </w:pPr>
    <w:rPr>
      <w:rFonts w:ascii="Times New Roman" w:hAnsi="Times New Roman" w:cs="Times New Roman"/>
      <w:b/>
      <w:bCs/>
    </w:rPr>
  </w:style>
  <w:style w:type="character" w:customStyle="1" w:styleId="251">
    <w:name w:val="font01"/>
    <w:uiPriority w:val="99"/>
    <w:rPr>
      <w:rFonts w:ascii="Calibri" w:hAnsi="Calibri" w:cs="Calibri"/>
      <w:color w:val="000000"/>
      <w:sz w:val="20"/>
      <w:szCs w:val="20"/>
      <w:u w:val="none"/>
    </w:rPr>
  </w:style>
  <w:style w:type="character" w:customStyle="1" w:styleId="252">
    <w:name w:val="font31"/>
    <w:qFormat/>
    <w:uiPriority w:val="99"/>
    <w:rPr>
      <w:rFonts w:ascii="宋体" w:hAnsi="宋体" w:eastAsia="宋体" w:cs="宋体"/>
      <w:color w:val="000000"/>
      <w:sz w:val="20"/>
      <w:szCs w:val="20"/>
      <w:u w:val="none"/>
    </w:rPr>
  </w:style>
  <w:style w:type="character" w:customStyle="1" w:styleId="253">
    <w:name w:val="font11"/>
    <w:uiPriority w:val="99"/>
    <w:rPr>
      <w:rFonts w:ascii="宋体" w:hAnsi="宋体" w:eastAsia="宋体" w:cs="宋体"/>
      <w:color w:val="000000"/>
      <w:sz w:val="20"/>
      <w:szCs w:val="20"/>
      <w:u w:val="none"/>
    </w:rPr>
  </w:style>
  <w:style w:type="character" w:customStyle="1" w:styleId="254">
    <w:name w:val="font21"/>
    <w:qFormat/>
    <w:uiPriority w:val="99"/>
    <w:rPr>
      <w:rFonts w:ascii="宋体" w:hAnsi="宋体" w:eastAsia="宋体" w:cs="宋体"/>
      <w:color w:val="000000"/>
      <w:sz w:val="20"/>
      <w:szCs w:val="20"/>
      <w:u w:val="none"/>
    </w:rPr>
  </w:style>
  <w:style w:type="character" w:customStyle="1" w:styleId="255">
    <w:name w:val="font51"/>
    <w:qFormat/>
    <w:uiPriority w:val="99"/>
    <w:rPr>
      <w:rFonts w:ascii="宋体" w:hAnsi="宋体" w:eastAsia="宋体" w:cs="宋体"/>
      <w:color w:val="FF0000"/>
      <w:sz w:val="20"/>
      <w:szCs w:val="20"/>
      <w:u w:val="none"/>
    </w:rPr>
  </w:style>
  <w:style w:type="paragraph" w:customStyle="1" w:styleId="256">
    <w:name w:val="Default"/>
    <w:qFormat/>
    <w:uiPriority w:val="99"/>
    <w:pPr>
      <w:widowControl w:val="0"/>
    </w:pPr>
    <w:rPr>
      <w:rFonts w:hint="default" w:ascii="宋体" w:hAnsi="Calibri" w:eastAsia="宋体" w:cs="宋体"/>
      <w:color w:val="000000"/>
      <w:sz w:val="24"/>
      <w:szCs w:val="24"/>
      <w:lang w:val="en-US" w:eastAsia="zh-CN" w:bidi="ar-SA"/>
    </w:rPr>
  </w:style>
  <w:style w:type="paragraph" w:customStyle="1" w:styleId="257">
    <w:name w:val="正文（缩进）"/>
    <w:basedOn w:val="1"/>
    <w:uiPriority w:val="99"/>
    <w:pPr>
      <w:spacing w:before="156" w:after="156"/>
      <w:ind w:firstLine="480"/>
    </w:pPr>
  </w:style>
  <w:style w:type="paragraph" w:customStyle="1" w:styleId="258">
    <w:name w:val="修订1"/>
    <w:hidden/>
    <w:semiHidden/>
    <w:qFormat/>
    <w:uiPriority w:val="99"/>
    <w:rPr>
      <w:rFonts w:hint="default" w:ascii="Calibri" w:hAnsi="Calibri" w:eastAsia="宋体" w:cs="Calibri"/>
      <w:sz w:val="21"/>
      <w:szCs w:val="21"/>
      <w:lang w:val="en-US" w:eastAsia="zh-CN" w:bidi="ar-SA"/>
    </w:rPr>
  </w:style>
  <w:style w:type="paragraph" w:customStyle="1" w:styleId="259">
    <w:name w:val="修订2"/>
    <w:hidden/>
    <w:semiHidden/>
    <w:qFormat/>
    <w:uiPriority w:val="99"/>
    <w:rPr>
      <w:rFonts w:hint="default" w:ascii="Calibri" w:hAnsi="Calibri" w:eastAsia="宋体" w:cs="Calibri"/>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DoubleOX</Company>
  <Pages>59</Pages>
  <TotalTime>28</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2024-04-02T07:48:00Z</dcterms:created>
  <dc:creator>Administrator</dc:creator>
  <cp:lastModifiedBy>淡,沫</cp:lastModifiedBy>
  <dcterms:modified xsi:type="dcterms:W3CDTF">2024-04-22T08:25:52Z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B2590E0FFF3F4A46AA060838A47F2106_13</vt:lpwstr>
  </property>
</Properties>
</file>