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eastAsia" w:ascii="方正小标宋简体" w:eastAsia="方正小标宋简体"/>
          <w:color w:val="FF0000"/>
          <w:w w:val="85"/>
          <w:sz w:val="120"/>
          <w:szCs w:val="120"/>
        </w:rPr>
      </w:pPr>
    </w:p>
    <w:p>
      <w:pPr>
        <w:spacing w:line="240" w:lineRule="exact"/>
        <w:rPr>
          <w:rFonts w:ascii="方正小标宋简体" w:eastAsia="方正小标宋简体"/>
          <w:color w:val="FF0000"/>
          <w:w w:val="85"/>
          <w:sz w:val="120"/>
          <w:szCs w:val="120"/>
        </w:rPr>
      </w:pPr>
    </w:p>
    <w:p>
      <w:pPr>
        <w:adjustRightInd w:val="0"/>
        <w:snapToGrid w:val="0"/>
        <w:spacing w:line="64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关于印发《关于在全省国有资金投资房屋建筑</w:t>
      </w:r>
      <w:r>
        <w:rPr>
          <w:rFonts w:hint="eastAsia" w:ascii="方正小标宋_GBK" w:eastAsia="方正小标宋_GBK"/>
          <w:snapToGrid w:val="0"/>
          <w:spacing w:val="-17"/>
          <w:kern w:val="0"/>
          <w:sz w:val="44"/>
          <w:szCs w:val="44"/>
        </w:rPr>
        <w:t>和市政基础设施工程项目招标中推进“评定分离”</w:t>
      </w:r>
    </w:p>
    <w:p>
      <w:pPr>
        <w:adjustRightInd w:val="0"/>
        <w:snapToGrid w:val="0"/>
        <w:spacing w:line="64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工作的实施意见（试行）》的通知</w:t>
      </w:r>
    </w:p>
    <w:p>
      <w:pPr>
        <w:autoSpaceDE w:val="0"/>
        <w:autoSpaceDN w:val="0"/>
        <w:adjustRightInd w:val="0"/>
        <w:snapToGrid w:val="0"/>
        <w:spacing w:line="570" w:lineRule="exact"/>
        <w:jc w:val="center"/>
        <w:rPr>
          <w:rFonts w:eastAsia="方正仿宋_GBK"/>
          <w:snapToGrid w:val="0"/>
          <w:kern w:val="0"/>
          <w:sz w:val="32"/>
          <w:szCs w:val="20"/>
        </w:rPr>
      </w:pPr>
      <w:r>
        <w:rPr>
          <w:rFonts w:hint="eastAsia" w:eastAsia="方正仿宋_GBK"/>
          <w:snapToGrid w:val="0"/>
          <w:kern w:val="0"/>
          <w:sz w:val="32"/>
          <w:szCs w:val="20"/>
        </w:rPr>
        <w:t>苏建规字〔2023〕2号</w:t>
      </w:r>
    </w:p>
    <w:p>
      <w:pPr>
        <w:autoSpaceDE w:val="0"/>
        <w:autoSpaceDN w:val="0"/>
        <w:adjustRightInd w:val="0"/>
        <w:snapToGrid w:val="0"/>
        <w:spacing w:line="570" w:lineRule="exact"/>
        <w:rPr>
          <w:rFonts w:eastAsia="方正仿宋_GBK"/>
          <w:snapToGrid w:val="0"/>
          <w:kern w:val="0"/>
          <w:sz w:val="32"/>
          <w:szCs w:val="20"/>
        </w:rPr>
      </w:pPr>
    </w:p>
    <w:p>
      <w:pPr>
        <w:autoSpaceDE w:val="0"/>
        <w:autoSpaceDN w:val="0"/>
        <w:adjustRightInd w:val="0"/>
        <w:snapToGrid w:val="0"/>
        <w:spacing w:line="570" w:lineRule="exact"/>
        <w:rPr>
          <w:rFonts w:ascii="方正仿宋_GBK" w:eastAsia="方正仿宋_GBK"/>
          <w:snapToGrid w:val="0"/>
          <w:kern w:val="32"/>
          <w:sz w:val="32"/>
          <w:szCs w:val="20"/>
        </w:rPr>
      </w:pPr>
      <w:r>
        <w:rPr>
          <w:rFonts w:hint="eastAsia" w:ascii="方正仿宋_GBK" w:eastAsia="方正仿宋_GBK"/>
          <w:snapToGrid w:val="0"/>
          <w:kern w:val="32"/>
          <w:sz w:val="32"/>
          <w:szCs w:val="20"/>
        </w:rPr>
        <w:t>各设区市住房和城乡建设局（建委）：</w:t>
      </w:r>
    </w:p>
    <w:p>
      <w:pPr>
        <w:autoSpaceDE w:val="0"/>
        <w:autoSpaceDN w:val="0"/>
        <w:adjustRightInd w:val="0"/>
        <w:snapToGrid w:val="0"/>
        <w:spacing w:line="570" w:lineRule="exact"/>
        <w:ind w:firstLine="620" w:firstLineChars="196"/>
        <w:rPr>
          <w:rFonts w:ascii="方正仿宋_GBK" w:eastAsia="方正仿宋_GBK"/>
          <w:snapToGrid w:val="0"/>
          <w:kern w:val="32"/>
          <w:sz w:val="32"/>
          <w:szCs w:val="20"/>
        </w:rPr>
      </w:pPr>
      <w:r>
        <w:rPr>
          <w:rFonts w:hint="eastAsia" w:ascii="方正仿宋_GBK" w:eastAsia="方正仿宋_GBK"/>
          <w:snapToGrid w:val="0"/>
          <w:kern w:val="32"/>
          <w:sz w:val="32"/>
          <w:szCs w:val="20"/>
        </w:rPr>
        <w:t>为深化“放管服”改革，优化营商环境，落实招标人主体责任，更好激发市场主体活力，推动建筑业高质量发展，我厅制定了《关于在全省国有资金投资房屋建筑和市政基础设施工程项目招标中推进“评定分离”工作的实施意见（试行）》，</w:t>
      </w:r>
      <w:r>
        <w:rPr>
          <w:rFonts w:hint="eastAsia" w:eastAsia="方正仿宋_GBK"/>
          <w:snapToGrid w:val="0"/>
          <w:color w:val="000000"/>
          <w:spacing w:val="-6"/>
          <w:kern w:val="32"/>
          <w:sz w:val="32"/>
          <w:szCs w:val="20"/>
        </w:rPr>
        <w:t>经</w:t>
      </w:r>
      <w:r>
        <w:rPr>
          <w:rFonts w:eastAsia="方正仿宋_GBK"/>
          <w:snapToGrid w:val="0"/>
          <w:color w:val="000000"/>
          <w:spacing w:val="-6"/>
          <w:kern w:val="32"/>
          <w:sz w:val="32"/>
          <w:szCs w:val="20"/>
        </w:rPr>
        <w:t>2023</w:t>
      </w:r>
      <w:r>
        <w:rPr>
          <w:rFonts w:hint="eastAsia" w:eastAsia="方正仿宋_GBK"/>
          <w:snapToGrid w:val="0"/>
          <w:color w:val="000000"/>
          <w:spacing w:val="-6"/>
          <w:kern w:val="32"/>
          <w:sz w:val="32"/>
          <w:szCs w:val="20"/>
        </w:rPr>
        <w:t>年</w:t>
      </w:r>
      <w:r>
        <w:rPr>
          <w:rFonts w:eastAsia="方正仿宋_GBK"/>
          <w:snapToGrid w:val="0"/>
          <w:color w:val="000000"/>
          <w:spacing w:val="-6"/>
          <w:kern w:val="32"/>
          <w:sz w:val="32"/>
          <w:szCs w:val="20"/>
        </w:rPr>
        <w:t>4</w:t>
      </w:r>
      <w:r>
        <w:rPr>
          <w:rFonts w:hint="eastAsia" w:eastAsia="方正仿宋_GBK"/>
          <w:snapToGrid w:val="0"/>
          <w:color w:val="000000"/>
          <w:spacing w:val="-6"/>
          <w:kern w:val="32"/>
          <w:sz w:val="32"/>
          <w:szCs w:val="20"/>
        </w:rPr>
        <w:t>月</w:t>
      </w:r>
      <w:r>
        <w:rPr>
          <w:rFonts w:eastAsia="方正仿宋_GBK"/>
          <w:snapToGrid w:val="0"/>
          <w:color w:val="000000"/>
          <w:spacing w:val="-6"/>
          <w:kern w:val="32"/>
          <w:sz w:val="32"/>
          <w:szCs w:val="20"/>
        </w:rPr>
        <w:t>13</w:t>
      </w:r>
      <w:r>
        <w:rPr>
          <w:rFonts w:hint="eastAsia" w:eastAsia="方正仿宋_GBK"/>
          <w:snapToGrid w:val="0"/>
          <w:color w:val="000000"/>
          <w:spacing w:val="-6"/>
          <w:kern w:val="32"/>
          <w:sz w:val="32"/>
          <w:szCs w:val="20"/>
        </w:rPr>
        <w:t>日厅党组会议审议通过，自</w:t>
      </w:r>
      <w:r>
        <w:rPr>
          <w:rFonts w:eastAsia="方正仿宋_GBK"/>
          <w:snapToGrid w:val="0"/>
          <w:color w:val="000000"/>
          <w:spacing w:val="-6"/>
          <w:kern w:val="32"/>
          <w:sz w:val="32"/>
          <w:szCs w:val="20"/>
        </w:rPr>
        <w:t>2023</w:t>
      </w:r>
      <w:r>
        <w:rPr>
          <w:rFonts w:hint="eastAsia" w:eastAsia="方正仿宋_GBK"/>
          <w:snapToGrid w:val="0"/>
          <w:color w:val="000000"/>
          <w:spacing w:val="-6"/>
          <w:kern w:val="32"/>
          <w:sz w:val="32"/>
          <w:szCs w:val="20"/>
        </w:rPr>
        <w:t>年7月1日起施行。</w:t>
      </w:r>
    </w:p>
    <w:p>
      <w:pPr>
        <w:adjustRightInd w:val="0"/>
        <w:snapToGrid w:val="0"/>
        <w:spacing w:line="570" w:lineRule="exact"/>
        <w:ind w:right="1256"/>
        <w:rPr>
          <w:rFonts w:eastAsia="方正仿宋_GBK"/>
          <w:color w:val="000000"/>
          <w:sz w:val="32"/>
          <w:szCs w:val="32"/>
        </w:rPr>
      </w:pPr>
    </w:p>
    <w:p>
      <w:pPr>
        <w:adjustRightInd w:val="0"/>
        <w:snapToGrid w:val="0"/>
        <w:spacing w:line="570" w:lineRule="exact"/>
        <w:ind w:right="1256"/>
        <w:rPr>
          <w:rFonts w:eastAsia="方正仿宋_GBK"/>
          <w:color w:val="000000"/>
          <w:sz w:val="32"/>
          <w:szCs w:val="32"/>
        </w:rPr>
      </w:pPr>
    </w:p>
    <w:p>
      <w:pPr>
        <w:adjustRightInd w:val="0"/>
        <w:snapToGrid w:val="0"/>
        <w:spacing w:line="570" w:lineRule="exact"/>
        <w:ind w:left="2987" w:leftChars="1450" w:right="103" w:rightChars="50"/>
        <w:jc w:val="center"/>
        <w:rPr>
          <w:rFonts w:eastAsia="方正仿宋_GBK"/>
          <w:color w:val="000000"/>
          <w:sz w:val="32"/>
          <w:szCs w:val="32"/>
        </w:rPr>
      </w:pPr>
    </w:p>
    <w:p>
      <w:pPr>
        <w:adjustRightInd w:val="0"/>
        <w:snapToGrid w:val="0"/>
        <w:spacing w:line="570" w:lineRule="exact"/>
        <w:ind w:left="2987" w:leftChars="1450" w:right="103" w:rightChars="50"/>
        <w:jc w:val="center"/>
        <w:rPr>
          <w:rFonts w:eastAsia="方正仿宋_GBK"/>
          <w:color w:val="000000"/>
          <w:sz w:val="32"/>
          <w:szCs w:val="32"/>
        </w:rPr>
      </w:pPr>
      <w:r>
        <w:rPr>
          <w:rFonts w:hint="eastAsia" w:eastAsia="方正仿宋_GBK"/>
          <w:color w:val="000000"/>
          <w:sz w:val="32"/>
          <w:szCs w:val="32"/>
        </w:rPr>
        <w:t>江苏省住房和城乡建设厅</w:t>
      </w:r>
    </w:p>
    <w:p>
      <w:pPr>
        <w:autoSpaceDE w:val="0"/>
        <w:autoSpaceDN w:val="0"/>
        <w:adjustRightInd w:val="0"/>
        <w:snapToGrid w:val="0"/>
        <w:spacing w:line="570" w:lineRule="exact"/>
        <w:ind w:left="2987" w:leftChars="1450" w:right="103" w:rightChars="50" w:firstLine="1915" w:firstLineChars="606"/>
        <w:jc w:val="left"/>
        <w:rPr>
          <w:rFonts w:eastAsia="方正仿宋_GBK"/>
          <w:color w:val="000000"/>
          <w:sz w:val="32"/>
          <w:szCs w:val="32"/>
        </w:rPr>
      </w:pPr>
      <w:r>
        <w:rPr>
          <w:rFonts w:eastAsia="方正仿宋_GBK"/>
          <w:color w:val="000000"/>
          <w:sz w:val="32"/>
          <w:szCs w:val="32"/>
        </w:rPr>
        <w:t>2023年</w:t>
      </w:r>
      <w:r>
        <w:rPr>
          <w:rFonts w:hint="eastAsia" w:eastAsia="方正仿宋_GBK"/>
          <w:color w:val="000000"/>
          <w:sz w:val="32"/>
          <w:szCs w:val="32"/>
        </w:rPr>
        <w:t>5</w:t>
      </w:r>
      <w:r>
        <w:rPr>
          <w:rFonts w:eastAsia="方正仿宋_GBK"/>
          <w:color w:val="000000"/>
          <w:sz w:val="32"/>
          <w:szCs w:val="32"/>
        </w:rPr>
        <w:t>月</w:t>
      </w:r>
      <w:r>
        <w:rPr>
          <w:rFonts w:hint="eastAsia" w:eastAsia="方正仿宋_GBK"/>
          <w:color w:val="000000"/>
          <w:sz w:val="32"/>
          <w:szCs w:val="32"/>
        </w:rPr>
        <w:t>11</w:t>
      </w:r>
      <w:r>
        <w:rPr>
          <w:rFonts w:eastAsia="方正仿宋_GBK"/>
          <w:color w:val="000000"/>
          <w:sz w:val="32"/>
          <w:szCs w:val="32"/>
        </w:rPr>
        <w:t>日</w:t>
      </w:r>
    </w:p>
    <w:p>
      <w:pPr>
        <w:autoSpaceDE w:val="0"/>
        <w:autoSpaceDN w:val="0"/>
        <w:adjustRightInd w:val="0"/>
        <w:snapToGrid w:val="0"/>
        <w:spacing w:line="570" w:lineRule="exact"/>
        <w:ind w:firstLine="632" w:firstLineChars="200"/>
        <w:rPr>
          <w:rFonts w:eastAsia="方正仿宋_GBK"/>
          <w:snapToGrid w:val="0"/>
          <w:kern w:val="0"/>
          <w:sz w:val="32"/>
          <w:szCs w:val="20"/>
        </w:rPr>
      </w:pPr>
    </w:p>
    <w:p>
      <w:pPr>
        <w:autoSpaceDE w:val="0"/>
        <w:autoSpaceDN w:val="0"/>
        <w:adjustRightInd w:val="0"/>
        <w:snapToGrid w:val="0"/>
        <w:spacing w:line="570" w:lineRule="exact"/>
        <w:ind w:firstLine="632" w:firstLineChars="200"/>
        <w:rPr>
          <w:rFonts w:eastAsia="方正仿宋_GBK"/>
          <w:snapToGrid w:val="0"/>
          <w:kern w:val="0"/>
          <w:sz w:val="32"/>
          <w:szCs w:val="20"/>
        </w:rPr>
      </w:pPr>
      <w:r>
        <w:rPr>
          <w:rFonts w:eastAsia="方正仿宋_GBK"/>
          <w:snapToGrid w:val="0"/>
          <w:kern w:val="0"/>
          <w:sz w:val="32"/>
          <w:szCs w:val="20"/>
        </w:rPr>
        <w:t>（</w:t>
      </w:r>
      <w:r>
        <w:rPr>
          <w:rFonts w:hint="eastAsia" w:eastAsia="方正仿宋_GBK"/>
          <w:snapToGrid w:val="0"/>
          <w:kern w:val="0"/>
          <w:sz w:val="32"/>
          <w:szCs w:val="20"/>
        </w:rPr>
        <w:t>此件公开发布</w:t>
      </w:r>
      <w:r>
        <w:rPr>
          <w:rFonts w:eastAsia="方正仿宋_GBK"/>
          <w:snapToGrid w:val="0"/>
          <w:kern w:val="0"/>
          <w:sz w:val="32"/>
          <w:szCs w:val="20"/>
        </w:rPr>
        <w:t>）</w:t>
      </w:r>
    </w:p>
    <w:p>
      <w:pPr>
        <w:autoSpaceDE w:val="0"/>
        <w:autoSpaceDN w:val="0"/>
        <w:adjustRightInd w:val="0"/>
        <w:snapToGrid w:val="0"/>
        <w:spacing w:line="570" w:lineRule="exact"/>
        <w:ind w:firstLine="632" w:firstLineChars="200"/>
        <w:rPr>
          <w:rFonts w:eastAsia="方正仿宋_GBK"/>
          <w:snapToGrid w:val="0"/>
          <w:kern w:val="0"/>
          <w:sz w:val="32"/>
          <w:szCs w:val="20"/>
        </w:rPr>
      </w:pPr>
      <w:bookmarkStart w:id="1" w:name="_GoBack"/>
      <w:bookmarkEnd w:id="1"/>
    </w:p>
    <w:p>
      <w:pPr>
        <w:autoSpaceDE w:val="0"/>
        <w:autoSpaceDN w:val="0"/>
        <w:snapToGrid w:val="0"/>
        <w:spacing w:line="570" w:lineRule="exact"/>
        <w:ind w:firstLine="624"/>
        <w:rPr>
          <w:rFonts w:eastAsia="方正黑体_GBK"/>
          <w:snapToGrid w:val="0"/>
          <w:kern w:val="32"/>
          <w:sz w:val="32"/>
          <w:szCs w:val="20"/>
        </w:rPr>
      </w:pPr>
    </w:p>
    <w:p>
      <w:pPr>
        <w:autoSpaceDE w:val="0"/>
        <w:autoSpaceDN w:val="0"/>
        <w:snapToGrid w:val="0"/>
        <w:spacing w:line="57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关于在全省国有资金投资房屋建筑和市政</w:t>
      </w:r>
    </w:p>
    <w:p>
      <w:pPr>
        <w:autoSpaceDE w:val="0"/>
        <w:autoSpaceDN w:val="0"/>
        <w:snapToGrid w:val="0"/>
        <w:spacing w:line="57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基础设施工程项目招标中推进“评定分离”</w:t>
      </w:r>
    </w:p>
    <w:p>
      <w:pPr>
        <w:autoSpaceDE w:val="0"/>
        <w:autoSpaceDN w:val="0"/>
        <w:snapToGrid w:val="0"/>
        <w:spacing w:line="57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工作的实施意见（试行）</w:t>
      </w:r>
    </w:p>
    <w:p>
      <w:pPr>
        <w:autoSpaceDE w:val="0"/>
        <w:autoSpaceDN w:val="0"/>
        <w:snapToGrid w:val="0"/>
        <w:spacing w:line="570" w:lineRule="exact"/>
        <w:jc w:val="center"/>
        <w:rPr>
          <w:rFonts w:eastAsia="方正仿宋_GBK"/>
          <w:snapToGrid w:val="0"/>
          <w:kern w:val="0"/>
          <w:sz w:val="32"/>
          <w:szCs w:val="20"/>
        </w:rPr>
      </w:pPr>
    </w:p>
    <w:p>
      <w:pPr>
        <w:pStyle w:val="4"/>
        <w:spacing w:line="570" w:lineRule="exact"/>
        <w:ind w:firstLine="632"/>
        <w:rPr>
          <w:snapToGrid w:val="0"/>
          <w:color w:val="000000"/>
          <w:kern w:val="32"/>
          <w:szCs w:val="20"/>
        </w:rPr>
      </w:pPr>
      <w:r>
        <w:rPr>
          <w:rFonts w:hint="eastAsia"/>
          <w:snapToGrid w:val="0"/>
          <w:color w:val="000000"/>
          <w:kern w:val="32"/>
          <w:szCs w:val="20"/>
        </w:rPr>
        <w:t>为深化“放管服”改革，优化营商环境，落实招标人主体责任，更好激发市场主体活力，推动建筑业高质量发展，根据《</w:t>
      </w:r>
      <w:r>
        <w:fldChar w:fldCharType="begin"/>
      </w:r>
      <w:r>
        <w:instrText xml:space="preserve"> HYPERLINK "http://www.bjytzbdl.com/newsinfo/2279447.html" \t "_blank" </w:instrText>
      </w:r>
      <w:r>
        <w:fldChar w:fldCharType="separate"/>
      </w:r>
      <w:r>
        <w:rPr>
          <w:rFonts w:hint="eastAsia"/>
          <w:snapToGrid w:val="0"/>
          <w:color w:val="000000"/>
          <w:kern w:val="32"/>
          <w:szCs w:val="20"/>
        </w:rPr>
        <w:t>中华人民共和国招标投标法</w:t>
      </w:r>
      <w:r>
        <w:rPr>
          <w:rFonts w:hint="eastAsia"/>
          <w:snapToGrid w:val="0"/>
          <w:color w:val="000000"/>
          <w:kern w:val="32"/>
          <w:szCs w:val="20"/>
        </w:rPr>
        <w:fldChar w:fldCharType="end"/>
      </w:r>
      <w:r>
        <w:rPr>
          <w:rFonts w:hint="eastAsia"/>
          <w:snapToGrid w:val="0"/>
          <w:color w:val="000000"/>
          <w:kern w:val="32"/>
          <w:szCs w:val="20"/>
        </w:rPr>
        <w:t>》《优化营商环境条例》《江苏省国有资金投资工程建设项目招标投标管理办法》《住房和城乡建设部关于进一步加强房屋建筑和市政基础设施工程招标投标监管的指导意见》（建市规〔2019〕11号）、《省政府关于促进建筑业改革发展的意见》</w:t>
      </w:r>
      <w:bookmarkStart w:id="0" w:name="_Hlk67532920"/>
      <w:r>
        <w:rPr>
          <w:rFonts w:hint="eastAsia"/>
          <w:snapToGrid w:val="0"/>
          <w:color w:val="000000"/>
          <w:kern w:val="32"/>
          <w:szCs w:val="20"/>
        </w:rPr>
        <w:t>（苏政发〔2017〕151号）</w:t>
      </w:r>
      <w:bookmarkEnd w:id="0"/>
      <w:r>
        <w:rPr>
          <w:rFonts w:hint="eastAsia"/>
          <w:snapToGrid w:val="0"/>
          <w:color w:val="000000"/>
          <w:kern w:val="32"/>
          <w:szCs w:val="20"/>
        </w:rPr>
        <w:t>等法律法规文件精神，现就在全省国有资金投资房屋建筑和市政基础设施工程项目招标中推进“评定分离”工作提出以下实施意见。</w:t>
      </w:r>
    </w:p>
    <w:p>
      <w:pPr>
        <w:pStyle w:val="4"/>
        <w:spacing w:line="570" w:lineRule="exact"/>
        <w:ind w:firstLine="632"/>
        <w:rPr>
          <w:snapToGrid w:val="0"/>
          <w:color w:val="000000"/>
          <w:kern w:val="32"/>
          <w:szCs w:val="20"/>
        </w:rPr>
      </w:pPr>
      <w:r>
        <w:rPr>
          <w:rFonts w:hint="eastAsia" w:ascii="方正黑体_GBK" w:hAnsi="方正黑体_GBK" w:eastAsia="方正黑体_GBK" w:cs="方正黑体_GBK"/>
          <w:bCs/>
          <w:szCs w:val="32"/>
        </w:rPr>
        <w:t>一、基本定义</w:t>
      </w:r>
    </w:p>
    <w:p>
      <w:pPr>
        <w:pStyle w:val="4"/>
        <w:spacing w:line="570" w:lineRule="exact"/>
        <w:ind w:firstLine="632"/>
        <w:rPr>
          <w:snapToGrid w:val="0"/>
          <w:color w:val="000000"/>
          <w:kern w:val="32"/>
          <w:szCs w:val="20"/>
        </w:rPr>
      </w:pPr>
      <w:r>
        <w:rPr>
          <w:rFonts w:hint="eastAsia"/>
          <w:snapToGrid w:val="0"/>
          <w:color w:val="000000"/>
          <w:kern w:val="32"/>
          <w:szCs w:val="20"/>
        </w:rPr>
        <w:t>“评定分离”是指评标委员会根据招标文件规定的评标标准和方法对投标文件的价格、技术、质量、品牌，投标人履约能力等因素进行评审后，向招标人推荐一定数量不排序的合格的中标候选人，再由招标人组建定标委员会，根据评标报告和评标委员会推荐的中标候选人，结合项目规模、技术难度等因素，按照规定的决策程序，择优确定中标人。</w:t>
      </w:r>
    </w:p>
    <w:p>
      <w:pPr>
        <w:pStyle w:val="4"/>
        <w:spacing w:line="570" w:lineRule="exact"/>
        <w:ind w:firstLine="632"/>
        <w:rPr>
          <w:snapToGrid w:val="0"/>
          <w:color w:val="000000"/>
          <w:kern w:val="32"/>
          <w:szCs w:val="20"/>
        </w:rPr>
      </w:pPr>
      <w:r>
        <w:rPr>
          <w:rFonts w:hint="eastAsia"/>
          <w:snapToGrid w:val="0"/>
          <w:color w:val="000000"/>
          <w:kern w:val="32"/>
          <w:szCs w:val="20"/>
        </w:rPr>
        <w:t>“评定分离”的宗旨是落实招标人的主体责任，实现权责对等。采用“评定分离”方式招标的项目，招标人不再授权评标委员会直接确定中标人。</w:t>
      </w:r>
    </w:p>
    <w:p>
      <w:pPr>
        <w:pStyle w:val="4"/>
        <w:spacing w:line="570" w:lineRule="exact"/>
        <w:ind w:firstLine="632"/>
        <w:rPr>
          <w:snapToGrid w:val="0"/>
          <w:color w:val="000000"/>
          <w:kern w:val="32"/>
          <w:szCs w:val="20"/>
        </w:rPr>
      </w:pPr>
      <w:r>
        <w:rPr>
          <w:rFonts w:hint="eastAsia" w:ascii="方正黑体_GBK" w:hAnsi="方正黑体_GBK" w:eastAsia="方正黑体_GBK" w:cs="方正黑体_GBK"/>
          <w:bCs/>
          <w:szCs w:val="32"/>
        </w:rPr>
        <w:t>二、基本原则</w:t>
      </w:r>
    </w:p>
    <w:p>
      <w:pPr>
        <w:pStyle w:val="4"/>
        <w:spacing w:line="570" w:lineRule="exact"/>
        <w:ind w:firstLine="632"/>
        <w:rPr>
          <w:snapToGrid w:val="0"/>
          <w:color w:val="000000"/>
          <w:kern w:val="32"/>
          <w:szCs w:val="20"/>
        </w:rPr>
      </w:pPr>
      <w:r>
        <w:rPr>
          <w:rFonts w:hint="eastAsia"/>
          <w:snapToGrid w:val="0"/>
          <w:color w:val="000000"/>
          <w:kern w:val="32"/>
          <w:szCs w:val="20"/>
        </w:rPr>
        <w:t>招标人应当遵守法律法规规定，按照公开、公平、公正和择优的原则开展招标活动，对招标评标定标过程及其结果承担主体责任。</w:t>
      </w:r>
    </w:p>
    <w:p>
      <w:pPr>
        <w:pStyle w:val="4"/>
        <w:spacing w:line="570" w:lineRule="exact"/>
        <w:ind w:firstLine="632"/>
        <w:rPr>
          <w:snapToGrid w:val="0"/>
          <w:color w:val="000000"/>
          <w:kern w:val="32"/>
          <w:szCs w:val="20"/>
        </w:rPr>
      </w:pPr>
      <w:r>
        <w:rPr>
          <w:rFonts w:hint="eastAsia"/>
          <w:snapToGrid w:val="0"/>
          <w:color w:val="000000"/>
          <w:kern w:val="32"/>
          <w:szCs w:val="20"/>
        </w:rPr>
        <w:t>评标活动中，资格审查的条件、标准和方法，评标的标准和方法等均按现行法律法规文件规定执行。评标委员会按招标文件要求向招标人推荐一定数量不排序的合格中标候选人。</w:t>
      </w:r>
    </w:p>
    <w:p>
      <w:pPr>
        <w:pStyle w:val="4"/>
        <w:spacing w:line="570" w:lineRule="exact"/>
        <w:ind w:firstLine="632"/>
        <w:rPr>
          <w:snapToGrid w:val="0"/>
          <w:color w:val="000000"/>
          <w:kern w:val="32"/>
          <w:szCs w:val="20"/>
        </w:rPr>
      </w:pPr>
      <w:r>
        <w:rPr>
          <w:rFonts w:hint="eastAsia"/>
          <w:snapToGrid w:val="0"/>
          <w:color w:val="000000"/>
          <w:kern w:val="32"/>
          <w:szCs w:val="20"/>
        </w:rPr>
        <w:t>定标活动由招标人负责，招标人通过综合考虑中标候选人的报价情况、履约能力、资信状况和评标委员会提出的技术咨询建议，择优确定中标人。</w:t>
      </w:r>
    </w:p>
    <w:p>
      <w:pPr>
        <w:pStyle w:val="4"/>
        <w:spacing w:line="570" w:lineRule="exact"/>
        <w:ind w:firstLine="632"/>
        <w:rPr>
          <w:snapToGrid w:val="0"/>
          <w:color w:val="000000"/>
          <w:kern w:val="32"/>
          <w:szCs w:val="20"/>
        </w:rPr>
      </w:pPr>
      <w:r>
        <w:rPr>
          <w:rFonts w:hint="eastAsia" w:ascii="方正黑体_GBK" w:hAnsi="方正黑体_GBK" w:eastAsia="方正黑体_GBK" w:cs="方正黑体_GBK"/>
          <w:bCs/>
          <w:szCs w:val="32"/>
        </w:rPr>
        <w:t>三、适用范围</w:t>
      </w:r>
    </w:p>
    <w:p>
      <w:pPr>
        <w:pStyle w:val="4"/>
        <w:spacing w:line="570" w:lineRule="exact"/>
        <w:ind w:firstLine="632"/>
        <w:rPr>
          <w:snapToGrid w:val="0"/>
          <w:color w:val="000000"/>
          <w:kern w:val="32"/>
          <w:szCs w:val="20"/>
        </w:rPr>
      </w:pPr>
      <w:r>
        <w:rPr>
          <w:rFonts w:hint="eastAsia"/>
          <w:snapToGrid w:val="0"/>
          <w:color w:val="000000"/>
          <w:kern w:val="32"/>
          <w:szCs w:val="20"/>
        </w:rPr>
        <w:t>我省范围内依法必须招标的国有资金占控股或者主导地位的房屋建筑和市政基础设施工程项目，属于下列情形之一的，可以采用“评定分离”方式：</w:t>
      </w:r>
    </w:p>
    <w:p>
      <w:pPr>
        <w:pStyle w:val="4"/>
        <w:spacing w:line="570" w:lineRule="exact"/>
        <w:ind w:firstLine="632"/>
        <w:rPr>
          <w:snapToGrid w:val="0"/>
          <w:color w:val="000000"/>
          <w:kern w:val="32"/>
          <w:szCs w:val="20"/>
        </w:rPr>
      </w:pPr>
      <w:r>
        <w:rPr>
          <w:rFonts w:hint="eastAsia"/>
          <w:snapToGrid w:val="0"/>
          <w:color w:val="000000"/>
          <w:kern w:val="32"/>
          <w:szCs w:val="20"/>
        </w:rPr>
        <w:t>1. 工程建设项目的设计方案招标；</w:t>
      </w:r>
    </w:p>
    <w:p>
      <w:pPr>
        <w:pStyle w:val="4"/>
        <w:spacing w:line="570" w:lineRule="exact"/>
        <w:ind w:firstLine="632"/>
        <w:rPr>
          <w:snapToGrid w:val="0"/>
          <w:color w:val="000000"/>
          <w:kern w:val="32"/>
          <w:szCs w:val="20"/>
        </w:rPr>
      </w:pPr>
      <w:r>
        <w:rPr>
          <w:rFonts w:hint="eastAsia"/>
          <w:snapToGrid w:val="0"/>
          <w:color w:val="000000"/>
          <w:kern w:val="32"/>
          <w:szCs w:val="20"/>
        </w:rPr>
        <w:t>2. 单项合同估算价300万元以上的监理招标；</w:t>
      </w:r>
    </w:p>
    <w:p>
      <w:pPr>
        <w:pStyle w:val="4"/>
        <w:spacing w:line="570" w:lineRule="exact"/>
        <w:ind w:firstLine="632"/>
        <w:rPr>
          <w:snapToGrid w:val="0"/>
          <w:color w:val="000000"/>
          <w:kern w:val="32"/>
          <w:szCs w:val="20"/>
        </w:rPr>
      </w:pPr>
      <w:r>
        <w:rPr>
          <w:rFonts w:hint="eastAsia"/>
          <w:snapToGrid w:val="0"/>
          <w:color w:val="000000"/>
          <w:kern w:val="32"/>
          <w:szCs w:val="20"/>
        </w:rPr>
        <w:t>3. 工程总承包招标；</w:t>
      </w:r>
    </w:p>
    <w:p>
      <w:pPr>
        <w:pStyle w:val="4"/>
        <w:spacing w:line="570" w:lineRule="exact"/>
        <w:ind w:firstLine="632"/>
        <w:rPr>
          <w:snapToGrid w:val="0"/>
          <w:color w:val="000000"/>
          <w:kern w:val="32"/>
          <w:szCs w:val="20"/>
        </w:rPr>
      </w:pPr>
      <w:r>
        <w:rPr>
          <w:rFonts w:hint="eastAsia"/>
          <w:snapToGrid w:val="0"/>
          <w:color w:val="000000"/>
          <w:kern w:val="32"/>
          <w:szCs w:val="20"/>
        </w:rPr>
        <w:t>4. 大型及以上且技术复杂项目的施工招标；</w:t>
      </w:r>
    </w:p>
    <w:p>
      <w:pPr>
        <w:pStyle w:val="4"/>
        <w:spacing w:line="570" w:lineRule="exact"/>
        <w:ind w:firstLine="632"/>
        <w:rPr>
          <w:snapToGrid w:val="0"/>
          <w:color w:val="000000"/>
          <w:kern w:val="32"/>
          <w:szCs w:val="20"/>
        </w:rPr>
      </w:pPr>
      <w:r>
        <w:rPr>
          <w:rFonts w:hint="eastAsia"/>
          <w:snapToGrid w:val="0"/>
          <w:color w:val="000000"/>
          <w:kern w:val="32"/>
          <w:szCs w:val="20"/>
        </w:rPr>
        <w:t>5. 政府集中建设项目的设计招标和政府集中建设大型及以上或技术复杂项目的施工招标（不含社会代建项目）。</w:t>
      </w:r>
    </w:p>
    <w:p>
      <w:pPr>
        <w:pStyle w:val="4"/>
        <w:spacing w:line="570" w:lineRule="exact"/>
        <w:ind w:firstLine="632"/>
        <w:rPr>
          <w:snapToGrid w:val="0"/>
          <w:color w:val="000000"/>
          <w:kern w:val="32"/>
          <w:szCs w:val="20"/>
        </w:rPr>
      </w:pPr>
      <w:r>
        <w:rPr>
          <w:rFonts w:hint="eastAsia"/>
          <w:snapToGrid w:val="0"/>
          <w:color w:val="000000"/>
          <w:kern w:val="32"/>
          <w:szCs w:val="20"/>
        </w:rPr>
        <w:t>采用合理低价法或者经评审的最低价法的工程项目招标不适用“评定分离”方式。</w:t>
      </w:r>
    </w:p>
    <w:p>
      <w:pPr>
        <w:ind w:firstLine="63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四、评标要求</w:t>
      </w:r>
    </w:p>
    <w:p>
      <w:pPr>
        <w:pStyle w:val="4"/>
        <w:spacing w:line="570" w:lineRule="exact"/>
        <w:ind w:firstLine="632"/>
        <w:rPr>
          <w:snapToGrid w:val="0"/>
          <w:color w:val="000000"/>
          <w:kern w:val="32"/>
          <w:szCs w:val="20"/>
        </w:rPr>
      </w:pPr>
      <w:r>
        <w:rPr>
          <w:rFonts w:hint="eastAsia"/>
          <w:snapToGrid w:val="0"/>
          <w:color w:val="000000"/>
          <w:kern w:val="32"/>
          <w:szCs w:val="20"/>
        </w:rPr>
        <w:t>评标委员会应当依法开展评标活动，评标结束后应当向招标人提交评标报告，按照评标结果的优劣顺序推荐3至7名不排序的中标候选人，具体数量应在招标文件中明确。</w:t>
      </w:r>
    </w:p>
    <w:p>
      <w:pPr>
        <w:pStyle w:val="4"/>
        <w:spacing w:line="570" w:lineRule="exact"/>
        <w:ind w:firstLine="632"/>
        <w:rPr>
          <w:snapToGrid w:val="0"/>
          <w:color w:val="000000"/>
          <w:kern w:val="32"/>
          <w:szCs w:val="20"/>
        </w:rPr>
      </w:pPr>
      <w:r>
        <w:rPr>
          <w:rFonts w:hint="eastAsia"/>
          <w:snapToGrid w:val="0"/>
          <w:color w:val="000000"/>
          <w:kern w:val="32"/>
          <w:szCs w:val="20"/>
        </w:rPr>
        <w:t>经评标委员会评审，当符合招标文件要求的合格投标人少于招标文件规定的数量，但不少于3名时，全部推荐为中标候选人；少于3名时，评标委员会作出是否具备竞争性判断，如具备竞争性，可继续推荐中标候选人。</w:t>
      </w:r>
    </w:p>
    <w:p>
      <w:pPr>
        <w:pStyle w:val="4"/>
        <w:spacing w:line="570" w:lineRule="exact"/>
        <w:ind w:firstLine="632"/>
        <w:rPr>
          <w:snapToGrid w:val="0"/>
          <w:color w:val="000000"/>
          <w:kern w:val="32"/>
          <w:szCs w:val="20"/>
        </w:rPr>
      </w:pPr>
      <w:r>
        <w:rPr>
          <w:rFonts w:hint="eastAsia"/>
          <w:snapToGrid w:val="0"/>
          <w:color w:val="000000"/>
          <w:kern w:val="32"/>
          <w:szCs w:val="20"/>
        </w:rPr>
        <w:t>评标报告应当明确记录中标候选人的优势、缺点、风险等评审情况和推荐理由，并对技术、质量、安全、工期的控制能力等提供技术咨询建议。招标人应当自收到评标报告之日起3日内依法进行评标结果公示。</w:t>
      </w:r>
    </w:p>
    <w:p>
      <w:pPr>
        <w:pStyle w:val="4"/>
        <w:spacing w:line="570" w:lineRule="exact"/>
        <w:ind w:firstLine="632"/>
        <w:rPr>
          <w:snapToGrid w:val="0"/>
          <w:color w:val="000000"/>
          <w:kern w:val="32"/>
          <w:szCs w:val="20"/>
        </w:rPr>
      </w:pPr>
      <w:r>
        <w:rPr>
          <w:rFonts w:hint="eastAsia"/>
          <w:snapToGrid w:val="0"/>
          <w:color w:val="000000"/>
          <w:kern w:val="32"/>
          <w:szCs w:val="20"/>
        </w:rPr>
        <w:t>评标结果公示期间，因异议或投诉导致中标候选人发生改变的，应当重新公示中标候选人。</w:t>
      </w:r>
    </w:p>
    <w:p>
      <w:pPr>
        <w:pStyle w:val="4"/>
        <w:spacing w:line="570" w:lineRule="exact"/>
        <w:ind w:firstLine="632"/>
        <w:rPr>
          <w:snapToGrid w:val="0"/>
          <w:color w:val="000000"/>
          <w:kern w:val="32"/>
          <w:szCs w:val="20"/>
        </w:rPr>
      </w:pPr>
      <w:r>
        <w:rPr>
          <w:rFonts w:hint="eastAsia" w:ascii="方正黑体_GBK" w:hAnsi="方正黑体_GBK" w:eastAsia="方正黑体_GBK" w:cs="方正黑体_GBK"/>
          <w:bCs/>
          <w:szCs w:val="32"/>
        </w:rPr>
        <w:t>五、定标要求</w:t>
      </w:r>
    </w:p>
    <w:p>
      <w:pPr>
        <w:pStyle w:val="4"/>
        <w:spacing w:line="570" w:lineRule="exact"/>
        <w:ind w:firstLine="632"/>
        <w:rPr>
          <w:snapToGrid w:val="0"/>
          <w:color w:val="000000"/>
          <w:kern w:val="32"/>
          <w:szCs w:val="20"/>
        </w:rPr>
      </w:pPr>
      <w:r>
        <w:rPr>
          <w:rFonts w:hint="eastAsia"/>
          <w:snapToGrid w:val="0"/>
          <w:color w:val="000000"/>
          <w:kern w:val="32"/>
          <w:szCs w:val="20"/>
        </w:rPr>
        <w:t>招标人应当在招标文件中明确定标标准和方法等内容，按照“评定分离”的原则开展定标活动。招标开始前，招标人应及时组建监督小组，监督小组原则上由三人组成，一般为招标人本单位或上级单位纪检监察人员或审计人员、工程建设领域相关专业技术人员及职工代表。监督小组对招标投标活动全过程进行监督，有权就定标委员会违反定标规则的行为进行质询，确保定标过程公正、公平。</w:t>
      </w:r>
    </w:p>
    <w:p>
      <w:pPr>
        <w:pStyle w:val="4"/>
        <w:spacing w:line="570" w:lineRule="exact"/>
        <w:ind w:firstLine="632"/>
        <w:rPr>
          <w:snapToGrid w:val="0"/>
          <w:color w:val="000000"/>
          <w:kern w:val="32"/>
          <w:szCs w:val="20"/>
        </w:rPr>
      </w:pPr>
      <w:r>
        <w:rPr>
          <w:rFonts w:hint="eastAsia"/>
          <w:snapToGrid w:val="0"/>
          <w:color w:val="000000"/>
          <w:kern w:val="32"/>
          <w:szCs w:val="20"/>
        </w:rPr>
        <w:t xml:space="preserve">1. </w:t>
      </w:r>
      <w:r>
        <w:rPr>
          <w:rFonts w:hint="eastAsia" w:ascii="方正楷体_GBK" w:eastAsia="方正楷体_GBK"/>
          <w:snapToGrid w:val="0"/>
          <w:color w:val="000000"/>
          <w:kern w:val="32"/>
          <w:szCs w:val="20"/>
        </w:rPr>
        <w:t>定标委员会</w:t>
      </w:r>
      <w:r>
        <w:rPr>
          <w:rFonts w:hint="eastAsia"/>
          <w:snapToGrid w:val="0"/>
          <w:color w:val="000000"/>
          <w:kern w:val="32"/>
          <w:szCs w:val="20"/>
        </w:rPr>
        <w:t>。定标委员会由招标人自主组建。定标委员会成员应当符合下列要求：不得与投标人有利害关系，人数为5人以上单数，招标人单位人员不得少于成员总数的三分之二。定标委员会名单在中标结果确定前应当保密。定标委员会应当推荐定标委员会负责人，招标人的法定代表人或者主要负责人参加定标的，由法定代表人或者主要负责人担任定标委员会负责人。定标委员会应当严格按照定标标准和方法进行定标。</w:t>
      </w:r>
    </w:p>
    <w:p>
      <w:pPr>
        <w:pStyle w:val="4"/>
        <w:spacing w:line="570" w:lineRule="exact"/>
        <w:ind w:firstLine="632"/>
        <w:rPr>
          <w:snapToGrid w:val="0"/>
          <w:color w:val="000000"/>
          <w:kern w:val="32"/>
          <w:szCs w:val="20"/>
        </w:rPr>
      </w:pPr>
      <w:r>
        <w:rPr>
          <w:rFonts w:hint="eastAsia"/>
          <w:snapToGrid w:val="0"/>
          <w:color w:val="000000"/>
          <w:kern w:val="32"/>
          <w:szCs w:val="20"/>
        </w:rPr>
        <w:t xml:space="preserve">2. </w:t>
      </w:r>
      <w:r>
        <w:rPr>
          <w:rFonts w:hint="eastAsia" w:ascii="方正楷体_GBK" w:eastAsia="方正楷体_GBK"/>
          <w:snapToGrid w:val="0"/>
          <w:color w:val="000000"/>
          <w:kern w:val="32"/>
          <w:szCs w:val="20"/>
        </w:rPr>
        <w:t>定标标准</w:t>
      </w:r>
      <w:r>
        <w:rPr>
          <w:rFonts w:hint="eastAsia"/>
          <w:snapToGrid w:val="0"/>
          <w:color w:val="000000"/>
          <w:kern w:val="32"/>
          <w:szCs w:val="20"/>
        </w:rPr>
        <w:t>。招标人在评标的评审因素基础上，根据设计、施工、监理等项目类型特点和实际需要，结合企业实力、企业信誉、团队管理水平等直接关系到中标后能否良好履约的因素确定非打分制的定标标准，定标标准不得含有倾向或者排斥潜在投标人的内容。定标过程中可以对拟派项目负责人或总监理工程师进行答辩，如评标中已采用答辩方式的，定标中不得再要求进行答辩。</w:t>
      </w:r>
    </w:p>
    <w:p>
      <w:pPr>
        <w:pStyle w:val="4"/>
        <w:spacing w:line="570" w:lineRule="exact"/>
        <w:ind w:firstLine="632"/>
        <w:rPr>
          <w:snapToGrid w:val="0"/>
          <w:color w:val="000000"/>
          <w:kern w:val="32"/>
          <w:szCs w:val="20"/>
        </w:rPr>
      </w:pPr>
      <w:r>
        <w:rPr>
          <w:rFonts w:hint="eastAsia"/>
          <w:snapToGrid w:val="0"/>
          <w:color w:val="000000"/>
          <w:kern w:val="32"/>
          <w:szCs w:val="20"/>
        </w:rPr>
        <w:t xml:space="preserve">3. </w:t>
      </w:r>
      <w:r>
        <w:rPr>
          <w:rFonts w:hint="eastAsia" w:ascii="方正楷体_GBK" w:eastAsia="方正楷体_GBK"/>
          <w:snapToGrid w:val="0"/>
          <w:color w:val="000000"/>
          <w:kern w:val="32"/>
          <w:szCs w:val="20"/>
        </w:rPr>
        <w:t>定标方法</w:t>
      </w:r>
      <w:r>
        <w:rPr>
          <w:rFonts w:hint="eastAsia"/>
          <w:snapToGrid w:val="0"/>
          <w:color w:val="000000"/>
          <w:kern w:val="32"/>
          <w:szCs w:val="20"/>
        </w:rPr>
        <w:t>。定标可以采用票决法或者集体议事法。票决法是指定标委员会成员根据定标标准对各中标候选人进行评价比较后记名票决，并确定得票数最多的为中标人；当得票数相同无法确定中标人时，应当对得票数相同的单位再次票决。集体议事法是指由定标委员会根据定标标准对各中标候选人进行集体商议，成员各自发表评价意见，最终由定标委员会负责人确定中标人。</w:t>
      </w:r>
    </w:p>
    <w:p>
      <w:pPr>
        <w:pStyle w:val="4"/>
        <w:spacing w:line="570" w:lineRule="exact"/>
        <w:ind w:firstLine="632"/>
        <w:rPr>
          <w:snapToGrid w:val="0"/>
          <w:color w:val="000000"/>
          <w:kern w:val="32"/>
          <w:szCs w:val="20"/>
        </w:rPr>
      </w:pPr>
      <w:r>
        <w:rPr>
          <w:rFonts w:hint="eastAsia"/>
          <w:snapToGrid w:val="0"/>
          <w:color w:val="000000"/>
          <w:kern w:val="32"/>
          <w:szCs w:val="20"/>
        </w:rPr>
        <w:t xml:space="preserve">4. </w:t>
      </w:r>
      <w:r>
        <w:rPr>
          <w:rFonts w:hint="eastAsia" w:ascii="方正楷体_GBK" w:eastAsia="方正楷体_GBK"/>
          <w:snapToGrid w:val="0"/>
          <w:color w:val="000000"/>
          <w:kern w:val="32"/>
          <w:szCs w:val="20"/>
        </w:rPr>
        <w:t>确定中标人</w:t>
      </w:r>
      <w:r>
        <w:rPr>
          <w:rFonts w:hint="eastAsia"/>
          <w:snapToGrid w:val="0"/>
          <w:color w:val="000000"/>
          <w:kern w:val="32"/>
          <w:szCs w:val="20"/>
        </w:rPr>
        <w:t>。招标人应当自收到评标报告之日起10日内召开定标会，定标会应当形成定标报告。定标报告内容应当包括：定标时间地点、定标标准和方法等；采用票决法的，应当包括定标委员会成员推荐中标人的理由和投票情况；采用集体议事法的，应当包括定标委员会成员对各中标候选人的评价意见和定标委员会负责人最终确定中标人的推荐理由。</w:t>
      </w:r>
    </w:p>
    <w:p>
      <w:pPr>
        <w:pStyle w:val="4"/>
        <w:spacing w:line="570" w:lineRule="exact"/>
        <w:ind w:firstLine="632"/>
        <w:rPr>
          <w:snapToGrid w:val="0"/>
          <w:color w:val="000000"/>
          <w:kern w:val="32"/>
          <w:szCs w:val="20"/>
        </w:rPr>
      </w:pPr>
      <w:r>
        <w:rPr>
          <w:rFonts w:hint="eastAsia"/>
          <w:snapToGrid w:val="0"/>
          <w:color w:val="000000"/>
          <w:kern w:val="32"/>
          <w:szCs w:val="20"/>
        </w:rPr>
        <w:t>定标会应当在公共资源交易中心召开，按照以下程序进行：招标人介绍项目情况、招标及评标有关情况；定标委员会审阅评标报告；定标委员会按照定标标准和方法择优确定中标人。</w:t>
      </w:r>
    </w:p>
    <w:p>
      <w:pPr>
        <w:pStyle w:val="4"/>
        <w:spacing w:line="570" w:lineRule="exact"/>
        <w:ind w:firstLine="632"/>
        <w:rPr>
          <w:snapToGrid w:val="0"/>
          <w:color w:val="000000"/>
          <w:kern w:val="32"/>
          <w:szCs w:val="20"/>
        </w:rPr>
      </w:pPr>
      <w:r>
        <w:rPr>
          <w:rFonts w:hint="eastAsia"/>
          <w:snapToGrid w:val="0"/>
          <w:color w:val="000000"/>
          <w:kern w:val="32"/>
          <w:szCs w:val="20"/>
        </w:rPr>
        <w:t>定标过程应当同步录音录像，录音录像信息和定标报告、定标委员会名单等资料应当一并存档备查。</w:t>
      </w:r>
    </w:p>
    <w:p>
      <w:pPr>
        <w:pStyle w:val="4"/>
        <w:spacing w:line="570" w:lineRule="exact"/>
        <w:ind w:firstLine="632"/>
        <w:rPr>
          <w:snapToGrid w:val="0"/>
          <w:color w:val="000000"/>
          <w:kern w:val="32"/>
          <w:szCs w:val="20"/>
        </w:rPr>
      </w:pPr>
      <w:r>
        <w:rPr>
          <w:rFonts w:hint="eastAsia"/>
          <w:snapToGrid w:val="0"/>
          <w:color w:val="000000"/>
          <w:kern w:val="32"/>
          <w:szCs w:val="20"/>
        </w:rPr>
        <w:t xml:space="preserve">5. </w:t>
      </w:r>
      <w:r>
        <w:rPr>
          <w:rFonts w:hint="eastAsia" w:ascii="方正楷体_GBK" w:eastAsia="方正楷体_GBK"/>
          <w:snapToGrid w:val="0"/>
          <w:color w:val="000000"/>
          <w:kern w:val="32"/>
          <w:szCs w:val="20"/>
        </w:rPr>
        <w:t>拟定中标人公示</w:t>
      </w:r>
      <w:r>
        <w:rPr>
          <w:rFonts w:hint="eastAsia"/>
          <w:snapToGrid w:val="0"/>
          <w:color w:val="000000"/>
          <w:kern w:val="32"/>
          <w:szCs w:val="20"/>
        </w:rPr>
        <w:t>。招标人应当自收到定标报告之日起3日内尽快公示定标结果，公示期不得少于3日。拟定中标人公示应当载明拟定中标人的名称、投标价格、项目负责人等信息，采用票决法的应当包括推荐中标人的得票情况，采用集体议事法的应当包括定标委员会负责人推荐中标人的理由，提出异议和投诉的渠道方式，以及法律法规和招标文件规定公示的其他内容。</w:t>
      </w:r>
    </w:p>
    <w:p>
      <w:pPr>
        <w:pStyle w:val="4"/>
        <w:spacing w:line="570" w:lineRule="exact"/>
        <w:ind w:firstLine="632"/>
        <w:rPr>
          <w:snapToGrid w:val="0"/>
          <w:color w:val="000000"/>
          <w:kern w:val="32"/>
          <w:szCs w:val="20"/>
        </w:rPr>
      </w:pPr>
      <w:r>
        <w:rPr>
          <w:rFonts w:hint="eastAsia"/>
          <w:snapToGrid w:val="0"/>
          <w:color w:val="000000"/>
          <w:kern w:val="32"/>
          <w:szCs w:val="20"/>
        </w:rPr>
        <w:t xml:space="preserve">6. </w:t>
      </w:r>
      <w:r>
        <w:rPr>
          <w:rFonts w:hint="eastAsia" w:ascii="方正楷体_GBK" w:eastAsia="方正楷体_GBK"/>
          <w:snapToGrid w:val="0"/>
          <w:color w:val="000000"/>
          <w:kern w:val="32"/>
          <w:szCs w:val="20"/>
        </w:rPr>
        <w:t>异议与投诉</w:t>
      </w:r>
      <w:r>
        <w:rPr>
          <w:rFonts w:hint="eastAsia"/>
          <w:snapToGrid w:val="0"/>
          <w:color w:val="000000"/>
          <w:kern w:val="32"/>
          <w:szCs w:val="20"/>
        </w:rPr>
        <w:t>。投标人或者其他利害关系人对中标结果有异议的，应当在拟定中标人公示期间提出。异议或投诉处理决定不改变评标委员会推荐的中标候选人名单。中标候选人公示期间已经处理过的异议或投诉，投标人或者其他利害关系人不得在拟定中标人公示期间以相同理由再次提出相同异议或投诉。</w:t>
      </w:r>
    </w:p>
    <w:p>
      <w:pPr>
        <w:pStyle w:val="4"/>
        <w:spacing w:line="570" w:lineRule="exact"/>
        <w:ind w:firstLine="632"/>
        <w:rPr>
          <w:snapToGrid w:val="0"/>
          <w:color w:val="000000"/>
          <w:kern w:val="32"/>
          <w:szCs w:val="20"/>
        </w:rPr>
      </w:pPr>
      <w:r>
        <w:rPr>
          <w:rFonts w:hint="eastAsia"/>
          <w:snapToGrid w:val="0"/>
          <w:color w:val="000000"/>
          <w:kern w:val="32"/>
          <w:szCs w:val="20"/>
        </w:rPr>
        <w:t xml:space="preserve">7. </w:t>
      </w:r>
      <w:r>
        <w:rPr>
          <w:rFonts w:hint="eastAsia" w:ascii="方正楷体_GBK" w:eastAsia="方正楷体_GBK"/>
          <w:snapToGrid w:val="0"/>
          <w:color w:val="000000"/>
          <w:kern w:val="32"/>
          <w:szCs w:val="20"/>
        </w:rPr>
        <w:t>中标人公告</w:t>
      </w:r>
      <w:r>
        <w:rPr>
          <w:rFonts w:hint="eastAsia"/>
          <w:snapToGrid w:val="0"/>
          <w:color w:val="000000"/>
          <w:kern w:val="32"/>
          <w:szCs w:val="20"/>
        </w:rPr>
        <w:t>。拟定中标人公示期内无异议或投诉的，招标人应当在公示期满后及时发出中标通知书，同时发布中标人公告。公告内容包括中标人名称、中标价和项目负责人等信息。</w:t>
      </w:r>
    </w:p>
    <w:p>
      <w:pPr>
        <w:pStyle w:val="4"/>
        <w:spacing w:line="570" w:lineRule="exact"/>
        <w:ind w:firstLine="632"/>
        <w:rPr>
          <w:snapToGrid w:val="0"/>
          <w:color w:val="000000"/>
          <w:kern w:val="32"/>
          <w:szCs w:val="20"/>
        </w:rPr>
      </w:pPr>
      <w:r>
        <w:rPr>
          <w:rFonts w:hint="eastAsia"/>
          <w:snapToGrid w:val="0"/>
          <w:color w:val="000000"/>
          <w:kern w:val="32"/>
          <w:szCs w:val="20"/>
        </w:rPr>
        <w:t xml:space="preserve">8. </w:t>
      </w:r>
      <w:r>
        <w:rPr>
          <w:rFonts w:hint="eastAsia" w:ascii="方正楷体_GBK" w:eastAsia="方正楷体_GBK"/>
          <w:snapToGrid w:val="0"/>
          <w:color w:val="000000"/>
          <w:kern w:val="32"/>
          <w:szCs w:val="20"/>
        </w:rPr>
        <w:t>重新定标</w:t>
      </w:r>
      <w:r>
        <w:rPr>
          <w:rFonts w:hint="eastAsia"/>
          <w:snapToGrid w:val="0"/>
          <w:color w:val="000000"/>
          <w:kern w:val="32"/>
          <w:szCs w:val="20"/>
        </w:rPr>
        <w:t>。中标人放弃中标、因不可抗力提出不能履行合同，或者招标文件规定应当提交履约保证金而且在规定的期限内未能提交的，或者被查实存在影响中标结果的违法行为等情形，不符合中标条件的，招标人可以采用原定标标准和方法，由原定标委员会在中标候选人名单中重新确定中标人并公示。其他中标候选人与招标人预期差距较大，或者对招标人明显不利的，招标人可以重新招标。</w:t>
      </w:r>
    </w:p>
    <w:p>
      <w:pPr>
        <w:pStyle w:val="4"/>
        <w:spacing w:line="570" w:lineRule="exact"/>
        <w:ind w:firstLine="632"/>
        <w:rPr>
          <w:snapToGrid w:val="0"/>
          <w:color w:val="000000"/>
          <w:kern w:val="32"/>
          <w:szCs w:val="20"/>
        </w:rPr>
      </w:pPr>
      <w:r>
        <w:rPr>
          <w:rFonts w:hint="eastAsia"/>
          <w:snapToGrid w:val="0"/>
          <w:color w:val="000000"/>
          <w:kern w:val="32"/>
          <w:szCs w:val="20"/>
        </w:rPr>
        <w:t xml:space="preserve">9. </w:t>
      </w:r>
      <w:r>
        <w:rPr>
          <w:rFonts w:hint="eastAsia" w:ascii="方正楷体_GBK" w:eastAsia="方正楷体_GBK"/>
          <w:snapToGrid w:val="0"/>
          <w:color w:val="000000"/>
          <w:kern w:val="32"/>
          <w:szCs w:val="20"/>
        </w:rPr>
        <w:t>签订合同</w:t>
      </w:r>
      <w:r>
        <w:rPr>
          <w:rFonts w:hint="eastAsia"/>
          <w:snapToGrid w:val="0"/>
          <w:color w:val="000000"/>
          <w:kern w:val="32"/>
          <w:szCs w:val="20"/>
        </w:rPr>
        <w:t>。中标人确定后，招标人应当与中标人在投标有效期内以及中标通知书发出之日起30日内签订合同。招标人和中标人不得再行订立背离合同实质性内容的其他协议。</w:t>
      </w:r>
    </w:p>
    <w:p>
      <w:pPr>
        <w:pStyle w:val="4"/>
        <w:spacing w:line="570" w:lineRule="exact"/>
        <w:ind w:firstLine="632"/>
        <w:rPr>
          <w:snapToGrid w:val="0"/>
          <w:color w:val="000000"/>
          <w:kern w:val="32"/>
          <w:szCs w:val="20"/>
        </w:rPr>
      </w:pPr>
      <w:r>
        <w:rPr>
          <w:rFonts w:hint="eastAsia" w:ascii="方正黑体_GBK" w:hAnsi="方正黑体_GBK" w:eastAsia="方正黑体_GBK" w:cs="方正黑体_GBK"/>
          <w:bCs/>
          <w:szCs w:val="32"/>
        </w:rPr>
        <w:t>六、保障措施</w:t>
      </w:r>
    </w:p>
    <w:p>
      <w:pPr>
        <w:pStyle w:val="4"/>
        <w:spacing w:line="570" w:lineRule="exact"/>
        <w:ind w:firstLine="632"/>
        <w:rPr>
          <w:snapToGrid w:val="0"/>
          <w:color w:val="000000"/>
          <w:kern w:val="32"/>
          <w:szCs w:val="20"/>
        </w:rPr>
      </w:pPr>
      <w:r>
        <w:rPr>
          <w:rFonts w:hint="eastAsia"/>
          <w:snapToGrid w:val="0"/>
          <w:color w:val="000000"/>
          <w:kern w:val="32"/>
          <w:szCs w:val="20"/>
        </w:rPr>
        <w:t xml:space="preserve">1. </w:t>
      </w:r>
      <w:r>
        <w:rPr>
          <w:rFonts w:hint="eastAsia" w:ascii="方正楷体_GBK" w:eastAsia="方正楷体_GBK"/>
          <w:snapToGrid w:val="0"/>
          <w:color w:val="000000"/>
          <w:kern w:val="32"/>
          <w:szCs w:val="20"/>
        </w:rPr>
        <w:t>提高认识</w:t>
      </w:r>
      <w:r>
        <w:rPr>
          <w:rFonts w:hint="eastAsia"/>
          <w:snapToGrid w:val="0"/>
          <w:color w:val="000000"/>
          <w:kern w:val="32"/>
          <w:szCs w:val="20"/>
        </w:rPr>
        <w:t>。“评定分离”是贯彻落实党的二十大精神、践行“放管服”改革、优化营商环境的重要举措，招投标各方主体应当充分认识“评定分离”的重要意义，尊重市场运行规律，落实招标人主体责任。</w:t>
      </w:r>
    </w:p>
    <w:p>
      <w:pPr>
        <w:pStyle w:val="4"/>
        <w:spacing w:line="570" w:lineRule="exact"/>
        <w:ind w:firstLine="632"/>
        <w:rPr>
          <w:snapToGrid w:val="0"/>
          <w:color w:val="000000"/>
          <w:kern w:val="32"/>
          <w:szCs w:val="20"/>
        </w:rPr>
      </w:pPr>
      <w:r>
        <w:rPr>
          <w:rFonts w:hint="eastAsia"/>
          <w:snapToGrid w:val="0"/>
          <w:color w:val="000000"/>
          <w:kern w:val="32"/>
          <w:szCs w:val="20"/>
        </w:rPr>
        <w:t xml:space="preserve">2. </w:t>
      </w:r>
      <w:r>
        <w:rPr>
          <w:rFonts w:hint="eastAsia" w:ascii="方正楷体_GBK" w:eastAsia="方正楷体_GBK"/>
          <w:snapToGrid w:val="0"/>
          <w:color w:val="000000"/>
          <w:kern w:val="32"/>
          <w:szCs w:val="20"/>
        </w:rPr>
        <w:t>内部控制</w:t>
      </w:r>
      <w:r>
        <w:rPr>
          <w:rFonts w:hint="eastAsia"/>
          <w:snapToGrid w:val="0"/>
          <w:color w:val="000000"/>
          <w:kern w:val="32"/>
          <w:szCs w:val="20"/>
        </w:rPr>
        <w:t>。招标人应当规范权力运行，完善监督约束机制，按照本单位内部程序控制要求，建立健全内部制度，加强对组建定标委员会、确定评标定标标准和方法、处理投诉及监督检查等重点环节的管理，防止腐败及违法违规行为的发生。</w:t>
      </w:r>
    </w:p>
    <w:p>
      <w:pPr>
        <w:pStyle w:val="4"/>
        <w:spacing w:line="570" w:lineRule="exact"/>
        <w:ind w:firstLine="632"/>
        <w:rPr>
          <w:snapToGrid w:val="0"/>
          <w:color w:val="000000"/>
          <w:kern w:val="32"/>
          <w:szCs w:val="20"/>
        </w:rPr>
      </w:pPr>
      <w:r>
        <w:rPr>
          <w:rFonts w:hint="eastAsia"/>
          <w:snapToGrid w:val="0"/>
          <w:color w:val="000000"/>
          <w:kern w:val="32"/>
          <w:szCs w:val="20"/>
        </w:rPr>
        <w:t xml:space="preserve">3. </w:t>
      </w:r>
      <w:r>
        <w:rPr>
          <w:rFonts w:hint="eastAsia" w:ascii="方正楷体_GBK" w:eastAsia="方正楷体_GBK"/>
          <w:snapToGrid w:val="0"/>
          <w:color w:val="000000"/>
          <w:kern w:val="32"/>
          <w:szCs w:val="20"/>
        </w:rPr>
        <w:t>监督管理</w:t>
      </w:r>
      <w:r>
        <w:rPr>
          <w:rFonts w:hint="eastAsia"/>
          <w:snapToGrid w:val="0"/>
          <w:color w:val="000000"/>
          <w:kern w:val="32"/>
          <w:szCs w:val="20"/>
        </w:rPr>
        <w:t>。招投标行政监督部门可采用随机抽查和重点检查相结合的方式，对采用“评定分离”方式的招标项目进行检查，加大招标投标监管力度，严厉打击评标定标过程中的违法违规行为，强化合同履约监管，维护建筑市场秩序。</w:t>
      </w:r>
    </w:p>
    <w:p>
      <w:pPr>
        <w:pStyle w:val="4"/>
        <w:spacing w:line="570" w:lineRule="exact"/>
        <w:ind w:firstLine="632"/>
        <w:rPr>
          <w:snapToGrid w:val="0"/>
          <w:color w:val="000000"/>
          <w:kern w:val="32"/>
          <w:szCs w:val="20"/>
        </w:rPr>
      </w:pPr>
      <w:r>
        <w:rPr>
          <w:rFonts w:hint="eastAsia" w:ascii="方正黑体_GBK" w:hAnsi="方正黑体_GBK" w:eastAsia="方正黑体_GBK" w:cs="方正黑体_GBK"/>
          <w:bCs/>
          <w:szCs w:val="32"/>
        </w:rPr>
        <w:t>七、其他</w:t>
      </w:r>
    </w:p>
    <w:p>
      <w:pPr>
        <w:pStyle w:val="4"/>
        <w:spacing w:line="570" w:lineRule="exact"/>
        <w:ind w:firstLine="632"/>
        <w:rPr>
          <w:snapToGrid w:val="0"/>
          <w:color w:val="000000"/>
          <w:kern w:val="32"/>
          <w:szCs w:val="20"/>
        </w:rPr>
      </w:pPr>
      <w:r>
        <w:rPr>
          <w:rFonts w:hint="eastAsia"/>
          <w:snapToGrid w:val="0"/>
          <w:color w:val="000000"/>
          <w:kern w:val="32"/>
          <w:szCs w:val="20"/>
        </w:rPr>
        <w:t>1. 本意见中的“特大型”、“大型”工程项目分类和“技术复杂项目”界定按照《省住房和城乡建设厅关于改革和完善房屋建筑和市政基础设施工程招标投标制度的实施意见》（苏建规字〔2017〕1 号）附件1的规定执行。</w:t>
      </w:r>
    </w:p>
    <w:p>
      <w:pPr>
        <w:pStyle w:val="4"/>
        <w:spacing w:line="570" w:lineRule="exact"/>
        <w:ind w:firstLine="632"/>
        <w:rPr>
          <w:snapToGrid w:val="0"/>
          <w:color w:val="000000"/>
          <w:kern w:val="32"/>
          <w:szCs w:val="20"/>
        </w:rPr>
      </w:pPr>
      <w:r>
        <w:rPr>
          <w:rFonts w:hint="eastAsia"/>
          <w:snapToGrid w:val="0"/>
          <w:color w:val="000000"/>
          <w:kern w:val="32"/>
          <w:szCs w:val="20"/>
        </w:rPr>
        <w:t>2. 相关定标表格见附件。</w:t>
      </w:r>
    </w:p>
    <w:p>
      <w:pPr>
        <w:pStyle w:val="4"/>
        <w:spacing w:line="570" w:lineRule="exact"/>
        <w:ind w:firstLine="632"/>
        <w:rPr>
          <w:snapToGrid w:val="0"/>
          <w:color w:val="000000"/>
          <w:kern w:val="32"/>
          <w:szCs w:val="20"/>
        </w:rPr>
      </w:pPr>
      <w:r>
        <w:rPr>
          <w:rFonts w:hint="eastAsia"/>
          <w:snapToGrid w:val="0"/>
          <w:color w:val="000000"/>
          <w:kern w:val="32"/>
          <w:szCs w:val="20"/>
        </w:rPr>
        <w:t>3. 本意见自2023年7月1日起实施，有效期至2025年6月30日。</w:t>
      </w:r>
    </w:p>
    <w:p>
      <w:pPr>
        <w:pStyle w:val="4"/>
        <w:spacing w:line="570" w:lineRule="exact"/>
        <w:ind w:firstLine="632"/>
        <w:rPr>
          <w:snapToGrid w:val="0"/>
          <w:color w:val="000000"/>
          <w:kern w:val="32"/>
          <w:szCs w:val="20"/>
        </w:rPr>
      </w:pPr>
    </w:p>
    <w:p>
      <w:pPr>
        <w:pStyle w:val="4"/>
        <w:spacing w:line="570" w:lineRule="exact"/>
        <w:ind w:firstLine="632"/>
        <w:rPr>
          <w:snapToGrid w:val="0"/>
          <w:color w:val="000000"/>
          <w:kern w:val="32"/>
          <w:szCs w:val="20"/>
        </w:rPr>
      </w:pPr>
      <w:r>
        <w:rPr>
          <w:rFonts w:hint="eastAsia"/>
          <w:snapToGrid w:val="0"/>
          <w:color w:val="000000"/>
          <w:kern w:val="32"/>
          <w:szCs w:val="20"/>
        </w:rPr>
        <w:t>附件：1. 票决定标选票（第  轮）</w:t>
      </w:r>
    </w:p>
    <w:p>
      <w:pPr>
        <w:pStyle w:val="4"/>
        <w:spacing w:line="570" w:lineRule="exact"/>
        <w:ind w:firstLine="632"/>
        <w:rPr>
          <w:snapToGrid w:val="0"/>
          <w:color w:val="000000"/>
          <w:kern w:val="32"/>
          <w:szCs w:val="20"/>
        </w:rPr>
      </w:pPr>
      <w:r>
        <w:rPr>
          <w:rFonts w:hint="eastAsia"/>
          <w:snapToGrid w:val="0"/>
          <w:color w:val="000000"/>
          <w:kern w:val="32"/>
          <w:szCs w:val="20"/>
        </w:rPr>
        <w:t xml:space="preserve">      2. 票决定标选票（第  轮）计票汇总表</w:t>
      </w:r>
    </w:p>
    <w:p>
      <w:pPr>
        <w:pStyle w:val="4"/>
        <w:spacing w:line="570" w:lineRule="exact"/>
        <w:ind w:firstLine="632"/>
        <w:rPr>
          <w:snapToGrid w:val="0"/>
          <w:color w:val="000000"/>
          <w:kern w:val="32"/>
          <w:szCs w:val="20"/>
        </w:rPr>
      </w:pPr>
      <w:r>
        <w:rPr>
          <w:rFonts w:hint="eastAsia"/>
          <w:snapToGrid w:val="0"/>
          <w:color w:val="000000"/>
          <w:kern w:val="32"/>
          <w:szCs w:val="20"/>
        </w:rPr>
        <w:t xml:space="preserve">      3. 集体议事定标个人评价意见表</w:t>
      </w:r>
    </w:p>
    <w:p>
      <w:pPr>
        <w:pStyle w:val="4"/>
        <w:spacing w:line="570" w:lineRule="exact"/>
        <w:ind w:firstLine="632"/>
        <w:rPr>
          <w:snapToGrid w:val="0"/>
          <w:color w:val="000000"/>
          <w:kern w:val="32"/>
          <w:szCs w:val="20"/>
        </w:rPr>
      </w:pPr>
      <w:r>
        <w:rPr>
          <w:rFonts w:hint="eastAsia"/>
          <w:snapToGrid w:val="0"/>
          <w:color w:val="000000"/>
          <w:kern w:val="32"/>
          <w:szCs w:val="20"/>
        </w:rPr>
        <w:t xml:space="preserve">      4. 集体议事定标意见表</w:t>
      </w:r>
    </w:p>
    <w:p>
      <w:pPr>
        <w:pStyle w:val="4"/>
        <w:spacing w:line="570" w:lineRule="exact"/>
        <w:ind w:firstLine="0" w:firstLineChars="0"/>
        <w:rPr>
          <w:rFonts w:eastAsia="方正黑体_GBK"/>
          <w:bCs/>
          <w:sz w:val="30"/>
          <w:szCs w:val="30"/>
        </w:rPr>
      </w:pPr>
    </w:p>
    <w:p>
      <w:pPr>
        <w:pStyle w:val="4"/>
        <w:spacing w:line="570" w:lineRule="exact"/>
        <w:ind w:firstLine="0" w:firstLineChars="0"/>
        <w:rPr>
          <w:rFonts w:eastAsia="方正黑体_GBK"/>
          <w:bCs/>
          <w:sz w:val="30"/>
          <w:szCs w:val="30"/>
        </w:rPr>
      </w:pPr>
    </w:p>
    <w:p>
      <w:pPr>
        <w:pStyle w:val="4"/>
        <w:spacing w:line="570" w:lineRule="exact"/>
        <w:ind w:firstLine="0" w:firstLineChars="0"/>
        <w:rPr>
          <w:rFonts w:eastAsia="方正黑体_GBK"/>
          <w:bCs/>
          <w:sz w:val="30"/>
          <w:szCs w:val="30"/>
        </w:rPr>
      </w:pPr>
      <w:r>
        <w:rPr>
          <w:rFonts w:eastAsia="方正黑体_GBK"/>
          <w:bCs/>
          <w:sz w:val="30"/>
          <w:szCs w:val="30"/>
        </w:rPr>
        <w:br w:type="column"/>
      </w:r>
      <w:r>
        <w:rPr>
          <w:rFonts w:eastAsia="方正黑体_GBK"/>
          <w:bCs/>
          <w:sz w:val="30"/>
          <w:szCs w:val="30"/>
        </w:rPr>
        <w:t>附件1</w:t>
      </w:r>
    </w:p>
    <w:p>
      <w:pPr>
        <w:pStyle w:val="26"/>
        <w:spacing w:line="570" w:lineRule="exact"/>
        <w:ind w:firstLine="0" w:firstLineChars="0"/>
        <w:jc w:val="center"/>
        <w:rPr>
          <w:rFonts w:ascii="Times New Roman" w:hAnsi="Times New Roman" w:eastAsia="方正小标宋_GBK"/>
          <w:b w:val="0"/>
          <w:bCs/>
          <w:sz w:val="36"/>
          <w:szCs w:val="36"/>
        </w:rPr>
      </w:pPr>
      <w:r>
        <w:rPr>
          <w:rFonts w:ascii="Times New Roman" w:hAnsi="Times New Roman" w:eastAsia="方正小标宋_GBK"/>
          <w:b w:val="0"/>
          <w:bCs/>
          <w:sz w:val="36"/>
          <w:szCs w:val="36"/>
        </w:rPr>
        <w:t>票决定标选票（第  轮）</w:t>
      </w:r>
    </w:p>
    <w:p>
      <w:pPr>
        <w:pStyle w:val="26"/>
        <w:spacing w:line="570" w:lineRule="exact"/>
        <w:ind w:firstLine="0" w:firstLineChars="0"/>
        <w:jc w:val="center"/>
        <w:rPr>
          <w:rFonts w:ascii="Times New Roman" w:hAnsi="Times New Roman" w:eastAsia="方正仿宋_GBK"/>
          <w:b w:val="0"/>
          <w:bCs/>
          <w:sz w:val="32"/>
          <w:szCs w:val="32"/>
        </w:rPr>
      </w:pPr>
    </w:p>
    <w:p>
      <w:pPr>
        <w:ind w:firstLine="276" w:firstLineChars="100"/>
        <w:rPr>
          <w:sz w:val="28"/>
          <w:szCs w:val="28"/>
        </w:rPr>
      </w:pPr>
      <w:r>
        <w:rPr>
          <w:sz w:val="28"/>
          <w:szCs w:val="28"/>
        </w:rPr>
        <w:t>招标标段名称：</w:t>
      </w:r>
      <w:r>
        <w:rPr>
          <w:sz w:val="28"/>
          <w:szCs w:val="28"/>
          <w:u w:val="single"/>
        </w:rPr>
        <w:t xml:space="preserve">                                        </w:t>
      </w:r>
    </w:p>
    <w:tbl>
      <w:tblPr>
        <w:tblStyle w:val="8"/>
        <w:tblW w:w="8642" w:type="dxa"/>
        <w:jc w:val="center"/>
        <w:tblLayout w:type="fixed"/>
        <w:tblCellMar>
          <w:top w:w="15" w:type="dxa"/>
          <w:left w:w="15" w:type="dxa"/>
          <w:bottom w:w="15" w:type="dxa"/>
          <w:right w:w="15" w:type="dxa"/>
        </w:tblCellMar>
      </w:tblPr>
      <w:tblGrid>
        <w:gridCol w:w="2637"/>
        <w:gridCol w:w="6005"/>
      </w:tblGrid>
      <w:tr>
        <w:tblPrEx>
          <w:tblCellMar>
            <w:top w:w="15" w:type="dxa"/>
            <w:left w:w="15" w:type="dxa"/>
            <w:bottom w:w="15" w:type="dxa"/>
            <w:right w:w="15" w:type="dxa"/>
          </w:tblCellMar>
        </w:tblPrEx>
        <w:trPr>
          <w:trHeight w:val="624" w:hRule="atLeast"/>
          <w:jc w:val="center"/>
        </w:trPr>
        <w:tc>
          <w:tcPr>
            <w:tcW w:w="2637" w:type="dxa"/>
            <w:tcBorders>
              <w:top w:val="single" w:color="000000" w:sz="6" w:space="0"/>
              <w:left w:val="single" w:color="000000" w:sz="6" w:space="0"/>
              <w:bottom w:val="single" w:color="000000" w:sz="6" w:space="0"/>
              <w:right w:val="single" w:color="000000" w:sz="6" w:space="0"/>
            </w:tcBorders>
            <w:vAlign w:val="center"/>
          </w:tcPr>
          <w:p>
            <w:pPr>
              <w:wordWrap w:val="0"/>
              <w:spacing w:line="23" w:lineRule="atLeast"/>
              <w:jc w:val="center"/>
              <w:rPr>
                <w:b/>
                <w:sz w:val="28"/>
                <w:szCs w:val="28"/>
              </w:rPr>
            </w:pPr>
            <w:r>
              <w:rPr>
                <w:sz w:val="28"/>
                <w:szCs w:val="28"/>
              </w:rPr>
              <w:t>推荐的中标人名称</w:t>
            </w:r>
          </w:p>
        </w:tc>
        <w:tc>
          <w:tcPr>
            <w:tcW w:w="6005" w:type="dxa"/>
            <w:tcBorders>
              <w:top w:val="single" w:color="000000" w:sz="6" w:space="0"/>
              <w:left w:val="single" w:color="000000" w:sz="6" w:space="0"/>
              <w:bottom w:val="single" w:color="000000" w:sz="6" w:space="0"/>
              <w:right w:val="single" w:color="000000" w:sz="6" w:space="0"/>
            </w:tcBorders>
            <w:vAlign w:val="center"/>
          </w:tcPr>
          <w:p>
            <w:pPr>
              <w:wordWrap w:val="0"/>
              <w:spacing w:line="23" w:lineRule="atLeast"/>
              <w:jc w:val="center"/>
              <w:rPr>
                <w:b/>
                <w:sz w:val="28"/>
                <w:szCs w:val="28"/>
              </w:rPr>
            </w:pPr>
          </w:p>
        </w:tc>
      </w:tr>
      <w:tr>
        <w:tblPrEx>
          <w:tblCellMar>
            <w:top w:w="15" w:type="dxa"/>
            <w:left w:w="15" w:type="dxa"/>
            <w:bottom w:w="15" w:type="dxa"/>
            <w:right w:w="15" w:type="dxa"/>
          </w:tblCellMar>
        </w:tblPrEx>
        <w:trPr>
          <w:trHeight w:val="7158" w:hRule="atLeast"/>
          <w:jc w:val="center"/>
        </w:trPr>
        <w:tc>
          <w:tcPr>
            <w:tcW w:w="8642" w:type="dxa"/>
            <w:gridSpan w:val="2"/>
            <w:tcBorders>
              <w:top w:val="single" w:color="000000" w:sz="6" w:space="0"/>
              <w:left w:val="single" w:color="000000" w:sz="6" w:space="0"/>
              <w:bottom w:val="single" w:color="000000" w:sz="6" w:space="0"/>
              <w:right w:val="single" w:color="000000" w:sz="6" w:space="0"/>
            </w:tcBorders>
          </w:tcPr>
          <w:p>
            <w:pPr>
              <w:wordWrap w:val="0"/>
              <w:spacing w:line="23" w:lineRule="atLeast"/>
              <w:ind w:firstLine="552"/>
              <w:rPr>
                <w:bCs/>
                <w:sz w:val="28"/>
                <w:szCs w:val="28"/>
              </w:rPr>
            </w:pPr>
          </w:p>
          <w:p>
            <w:pPr>
              <w:wordWrap w:val="0"/>
              <w:spacing w:line="23" w:lineRule="atLeast"/>
              <w:ind w:firstLine="552"/>
              <w:rPr>
                <w:bCs/>
                <w:sz w:val="28"/>
                <w:szCs w:val="28"/>
              </w:rPr>
            </w:pPr>
            <w:r>
              <w:rPr>
                <w:bCs/>
                <w:sz w:val="28"/>
                <w:szCs w:val="28"/>
              </w:rPr>
              <w:t>推荐理由：</w:t>
            </w:r>
          </w:p>
          <w:p>
            <w:pPr>
              <w:wordWrap w:val="0"/>
              <w:spacing w:line="23" w:lineRule="atLeast"/>
              <w:ind w:firstLine="552"/>
              <w:rPr>
                <w:bCs/>
                <w:sz w:val="28"/>
                <w:szCs w:val="28"/>
              </w:rPr>
            </w:pPr>
          </w:p>
          <w:p>
            <w:pPr>
              <w:wordWrap w:val="0"/>
              <w:spacing w:line="23" w:lineRule="atLeast"/>
              <w:ind w:firstLine="552"/>
              <w:rPr>
                <w:bCs/>
                <w:sz w:val="28"/>
                <w:szCs w:val="28"/>
              </w:rPr>
            </w:pPr>
          </w:p>
          <w:p>
            <w:pPr>
              <w:ind w:firstLine="552"/>
              <w:rPr>
                <w:sz w:val="28"/>
                <w:szCs w:val="28"/>
              </w:rPr>
            </w:pPr>
          </w:p>
          <w:p>
            <w:pPr>
              <w:wordWrap w:val="0"/>
              <w:spacing w:line="23" w:lineRule="atLeast"/>
              <w:ind w:firstLine="552"/>
              <w:jc w:val="center"/>
              <w:rPr>
                <w:bCs/>
                <w:sz w:val="28"/>
                <w:szCs w:val="28"/>
              </w:rPr>
            </w:pPr>
          </w:p>
        </w:tc>
      </w:tr>
    </w:tbl>
    <w:p>
      <w:pPr>
        <w:rPr>
          <w:szCs w:val="21"/>
        </w:rPr>
      </w:pPr>
    </w:p>
    <w:p>
      <w:pPr>
        <w:ind w:firstLine="276" w:firstLineChars="100"/>
        <w:jc w:val="left"/>
        <w:rPr>
          <w:sz w:val="28"/>
          <w:szCs w:val="28"/>
        </w:rPr>
      </w:pPr>
      <w:r>
        <w:rPr>
          <w:sz w:val="28"/>
          <w:szCs w:val="28"/>
        </w:rPr>
        <w:t>定标地点:                                        年   月   日</w:t>
      </w:r>
    </w:p>
    <w:p>
      <w:pPr>
        <w:jc w:val="left"/>
        <w:rPr>
          <w:sz w:val="28"/>
          <w:szCs w:val="28"/>
        </w:rPr>
      </w:pPr>
    </w:p>
    <w:p>
      <w:pPr>
        <w:ind w:firstLine="276" w:firstLineChars="100"/>
        <w:rPr>
          <w:sz w:val="28"/>
          <w:szCs w:val="28"/>
        </w:rPr>
      </w:pPr>
      <w:r>
        <w:rPr>
          <w:sz w:val="28"/>
          <w:szCs w:val="28"/>
        </w:rPr>
        <w:t xml:space="preserve">定标委员（签名）：                                            </w:t>
      </w:r>
    </w:p>
    <w:p>
      <w:pPr>
        <w:spacing w:line="570" w:lineRule="exact"/>
        <w:rPr>
          <w:rFonts w:eastAsia="方正黑体_GBK"/>
          <w:bCs/>
          <w:sz w:val="30"/>
          <w:szCs w:val="30"/>
        </w:rPr>
      </w:pPr>
      <w:r>
        <w:rPr>
          <w:szCs w:val="21"/>
        </w:rPr>
        <w:br w:type="page"/>
      </w:r>
      <w:r>
        <w:rPr>
          <w:rFonts w:eastAsia="方正黑体_GBK"/>
          <w:bCs/>
          <w:sz w:val="30"/>
          <w:szCs w:val="30"/>
        </w:rPr>
        <w:t>附件2</w:t>
      </w:r>
    </w:p>
    <w:p>
      <w:pPr>
        <w:widowControl/>
        <w:spacing w:line="570" w:lineRule="exact"/>
        <w:jc w:val="center"/>
        <w:rPr>
          <w:rFonts w:eastAsia="方正小标宋_GBK"/>
          <w:bCs/>
          <w:sz w:val="36"/>
          <w:szCs w:val="36"/>
        </w:rPr>
      </w:pPr>
      <w:r>
        <w:rPr>
          <w:rFonts w:eastAsia="方正小标宋_GBK"/>
          <w:bCs/>
          <w:sz w:val="36"/>
          <w:szCs w:val="36"/>
        </w:rPr>
        <w:t>票决定标选票（第  轮）计票汇总表</w:t>
      </w:r>
    </w:p>
    <w:p>
      <w:pPr>
        <w:widowControl/>
        <w:spacing w:line="30" w:lineRule="atLeast"/>
        <w:ind w:firstLine="474"/>
        <w:jc w:val="center"/>
        <w:rPr>
          <w:b/>
          <w:kern w:val="0"/>
          <w:sz w:val="24"/>
        </w:rPr>
      </w:pPr>
    </w:p>
    <w:p>
      <w:pPr>
        <w:wordWrap w:val="0"/>
        <w:spacing w:line="23" w:lineRule="atLeast"/>
        <w:rPr>
          <w:sz w:val="28"/>
          <w:szCs w:val="28"/>
        </w:rPr>
      </w:pPr>
      <w:r>
        <w:rPr>
          <w:sz w:val="28"/>
          <w:szCs w:val="28"/>
        </w:rPr>
        <w:t>招标标段名称：</w:t>
      </w:r>
      <w:r>
        <w:rPr>
          <w:sz w:val="28"/>
          <w:szCs w:val="28"/>
          <w:u w:val="single"/>
        </w:rPr>
        <w:t xml:space="preserve">                                      </w:t>
      </w:r>
      <w:r>
        <w:rPr>
          <w:rFonts w:hint="eastAsia"/>
          <w:sz w:val="28"/>
          <w:szCs w:val="28"/>
          <w:u w:val="single"/>
        </w:rPr>
        <w:t xml:space="preserve">  </w:t>
      </w:r>
      <w:r>
        <w:rPr>
          <w:sz w:val="28"/>
          <w:szCs w:val="28"/>
          <w:u w:val="single"/>
        </w:rPr>
        <w:t xml:space="preserve">  </w:t>
      </w:r>
    </w:p>
    <w:tbl>
      <w:tblPr>
        <w:tblStyle w:val="8"/>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146"/>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2" w:type="dxa"/>
            <w:vMerge w:val="restart"/>
            <w:tcBorders>
              <w:top w:val="single" w:color="auto" w:sz="2" w:space="0"/>
              <w:left w:val="single" w:color="auto" w:sz="2" w:space="0"/>
              <w:bottom w:val="single" w:color="auto" w:sz="2" w:space="0"/>
              <w:right w:val="single" w:color="auto" w:sz="4" w:space="0"/>
            </w:tcBorders>
            <w:vAlign w:val="center"/>
          </w:tcPr>
          <w:p>
            <w:pPr>
              <w:wordWrap w:val="0"/>
              <w:spacing w:line="23" w:lineRule="atLeast"/>
              <w:jc w:val="center"/>
              <w:rPr>
                <w:sz w:val="28"/>
                <w:szCs w:val="28"/>
              </w:rPr>
            </w:pPr>
            <w:r>
              <w:rPr>
                <w:sz w:val="28"/>
                <w:szCs w:val="28"/>
              </w:rPr>
              <w:t>序号</w:t>
            </w:r>
          </w:p>
        </w:tc>
        <w:tc>
          <w:tcPr>
            <w:tcW w:w="6146" w:type="dxa"/>
            <w:vMerge w:val="restart"/>
            <w:tcBorders>
              <w:top w:val="single" w:color="auto" w:sz="2" w:space="0"/>
              <w:left w:val="single" w:color="auto" w:sz="4" w:space="0"/>
              <w:bottom w:val="single" w:color="auto" w:sz="2" w:space="0"/>
              <w:right w:val="single" w:color="auto" w:sz="2" w:space="0"/>
            </w:tcBorders>
            <w:vAlign w:val="center"/>
          </w:tcPr>
          <w:p>
            <w:pPr>
              <w:wordWrap w:val="0"/>
              <w:spacing w:line="23" w:lineRule="atLeast"/>
              <w:jc w:val="center"/>
              <w:rPr>
                <w:sz w:val="28"/>
                <w:szCs w:val="28"/>
              </w:rPr>
            </w:pPr>
            <w:r>
              <w:rPr>
                <w:sz w:val="28"/>
                <w:szCs w:val="28"/>
              </w:rPr>
              <w:t>投标人名称</w:t>
            </w:r>
          </w:p>
        </w:tc>
        <w:tc>
          <w:tcPr>
            <w:tcW w:w="1877" w:type="dxa"/>
            <w:vMerge w:val="restart"/>
            <w:tcBorders>
              <w:top w:val="single" w:color="auto" w:sz="2" w:space="0"/>
              <w:left w:val="single" w:color="auto" w:sz="2" w:space="0"/>
              <w:bottom w:val="single" w:color="auto" w:sz="2" w:space="0"/>
              <w:right w:val="single" w:color="auto" w:sz="2" w:space="0"/>
            </w:tcBorders>
            <w:vAlign w:val="center"/>
          </w:tcPr>
          <w:p>
            <w:pPr>
              <w:wordWrap w:val="0"/>
              <w:spacing w:line="400" w:lineRule="exact"/>
              <w:jc w:val="center"/>
              <w:rPr>
                <w:rFonts w:eastAsia="方正仿宋_GBK"/>
                <w:sz w:val="28"/>
                <w:szCs w:val="28"/>
              </w:rPr>
            </w:pPr>
            <w:r>
              <w:rPr>
                <w:sz w:val="28"/>
                <w:szCs w:val="28"/>
              </w:rPr>
              <w:t>推荐为中标人的票数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2" w:type="dxa"/>
            <w:vMerge w:val="continue"/>
            <w:tcBorders>
              <w:top w:val="single" w:color="auto" w:sz="2" w:space="0"/>
              <w:left w:val="single" w:color="auto" w:sz="2" w:space="0"/>
              <w:bottom w:val="single" w:color="auto" w:sz="2" w:space="0"/>
              <w:right w:val="single" w:color="auto" w:sz="4" w:space="0"/>
            </w:tcBorders>
            <w:vAlign w:val="center"/>
          </w:tcPr>
          <w:p>
            <w:pPr>
              <w:wordWrap w:val="0"/>
              <w:spacing w:line="23" w:lineRule="atLeast"/>
              <w:jc w:val="center"/>
              <w:rPr>
                <w:sz w:val="28"/>
                <w:szCs w:val="28"/>
              </w:rPr>
            </w:pPr>
          </w:p>
        </w:tc>
        <w:tc>
          <w:tcPr>
            <w:tcW w:w="6146" w:type="dxa"/>
            <w:vMerge w:val="continue"/>
            <w:tcBorders>
              <w:top w:val="single" w:color="auto" w:sz="2" w:space="0"/>
              <w:left w:val="single" w:color="auto" w:sz="4" w:space="0"/>
              <w:bottom w:val="single" w:color="auto" w:sz="2" w:space="0"/>
              <w:right w:val="single" w:color="auto" w:sz="2" w:space="0"/>
            </w:tcBorders>
            <w:vAlign w:val="center"/>
          </w:tcPr>
          <w:p>
            <w:pPr>
              <w:wordWrap w:val="0"/>
              <w:spacing w:line="23" w:lineRule="atLeast"/>
              <w:jc w:val="center"/>
              <w:rPr>
                <w:sz w:val="28"/>
                <w:szCs w:val="28"/>
              </w:rPr>
            </w:pPr>
          </w:p>
        </w:tc>
        <w:tc>
          <w:tcPr>
            <w:tcW w:w="1877" w:type="dxa"/>
            <w:vMerge w:val="continue"/>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2"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r>
              <w:rPr>
                <w:sz w:val="28"/>
                <w:szCs w:val="28"/>
              </w:rPr>
              <w:t>1</w:t>
            </w:r>
          </w:p>
        </w:tc>
        <w:tc>
          <w:tcPr>
            <w:tcW w:w="6146"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c>
          <w:tcPr>
            <w:tcW w:w="1877"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2"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r>
              <w:rPr>
                <w:sz w:val="28"/>
                <w:szCs w:val="28"/>
              </w:rPr>
              <w:t>2</w:t>
            </w:r>
          </w:p>
        </w:tc>
        <w:tc>
          <w:tcPr>
            <w:tcW w:w="6146"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c>
          <w:tcPr>
            <w:tcW w:w="1877"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2"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r>
              <w:rPr>
                <w:sz w:val="28"/>
                <w:szCs w:val="28"/>
              </w:rPr>
              <w:t>3</w:t>
            </w:r>
          </w:p>
        </w:tc>
        <w:tc>
          <w:tcPr>
            <w:tcW w:w="6146"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c>
          <w:tcPr>
            <w:tcW w:w="1877"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42"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r>
              <w:rPr>
                <w:sz w:val="28"/>
                <w:szCs w:val="28"/>
              </w:rPr>
              <w:t>……</w:t>
            </w:r>
          </w:p>
        </w:tc>
        <w:tc>
          <w:tcPr>
            <w:tcW w:w="6146"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c>
          <w:tcPr>
            <w:tcW w:w="1877" w:type="dxa"/>
            <w:tcBorders>
              <w:top w:val="single" w:color="auto" w:sz="2" w:space="0"/>
              <w:left w:val="single" w:color="auto" w:sz="2" w:space="0"/>
              <w:bottom w:val="single" w:color="auto" w:sz="2" w:space="0"/>
              <w:right w:val="single" w:color="auto" w:sz="2" w:space="0"/>
            </w:tcBorders>
            <w:vAlign w:val="center"/>
          </w:tcPr>
          <w:p>
            <w:pPr>
              <w:wordWrap w:val="0"/>
              <w:spacing w:line="23" w:lineRule="atLeast"/>
              <w:jc w:val="center"/>
              <w:rPr>
                <w:sz w:val="28"/>
                <w:szCs w:val="28"/>
              </w:rPr>
            </w:pPr>
          </w:p>
        </w:tc>
      </w:tr>
    </w:tbl>
    <w:p>
      <w:pPr>
        <w:rPr>
          <w:szCs w:val="21"/>
        </w:rPr>
      </w:pPr>
    </w:p>
    <w:p>
      <w:pPr>
        <w:wordWrap w:val="0"/>
        <w:spacing w:line="23" w:lineRule="atLeast"/>
        <w:rPr>
          <w:sz w:val="28"/>
          <w:szCs w:val="28"/>
        </w:rPr>
      </w:pPr>
      <w:r>
        <w:rPr>
          <w:sz w:val="28"/>
          <w:szCs w:val="28"/>
        </w:rPr>
        <w:t>定标地点:                                        年   月   日</w:t>
      </w:r>
    </w:p>
    <w:p>
      <w:pPr>
        <w:wordWrap w:val="0"/>
        <w:spacing w:line="23" w:lineRule="atLeast"/>
        <w:jc w:val="center"/>
        <w:rPr>
          <w:sz w:val="28"/>
          <w:szCs w:val="28"/>
        </w:rPr>
      </w:pPr>
    </w:p>
    <w:p>
      <w:pPr>
        <w:wordWrap w:val="0"/>
        <w:spacing w:line="23" w:lineRule="atLeast"/>
        <w:rPr>
          <w:sz w:val="28"/>
          <w:szCs w:val="28"/>
        </w:rPr>
      </w:pPr>
      <w:r>
        <w:rPr>
          <w:sz w:val="28"/>
          <w:szCs w:val="28"/>
        </w:rPr>
        <w:t>定标委员会负责人（签名）：</w:t>
      </w:r>
    </w:p>
    <w:p>
      <w:pPr>
        <w:wordWrap w:val="0"/>
        <w:spacing w:line="23" w:lineRule="atLeast"/>
        <w:jc w:val="center"/>
        <w:rPr>
          <w:sz w:val="28"/>
          <w:szCs w:val="28"/>
        </w:rPr>
      </w:pPr>
    </w:p>
    <w:p>
      <w:pPr>
        <w:wordWrap w:val="0"/>
        <w:spacing w:line="23" w:lineRule="atLeast"/>
        <w:rPr>
          <w:sz w:val="28"/>
          <w:szCs w:val="28"/>
        </w:rPr>
      </w:pPr>
      <w:r>
        <w:rPr>
          <w:sz w:val="28"/>
          <w:szCs w:val="28"/>
        </w:rPr>
        <w:t>定标委员会成员（签名）：</w:t>
      </w:r>
    </w:p>
    <w:p>
      <w:pPr>
        <w:wordWrap w:val="0"/>
        <w:spacing w:line="23" w:lineRule="atLeast"/>
        <w:jc w:val="center"/>
        <w:rPr>
          <w:sz w:val="28"/>
          <w:szCs w:val="28"/>
        </w:rPr>
      </w:pPr>
    </w:p>
    <w:p>
      <w:pPr>
        <w:pStyle w:val="26"/>
        <w:spacing w:line="570" w:lineRule="exact"/>
        <w:ind w:firstLine="0" w:firstLineChars="0"/>
        <w:jc w:val="left"/>
        <w:rPr>
          <w:rFonts w:ascii="Times New Roman" w:hAnsi="Times New Roman" w:eastAsia="方正黑体_GBK"/>
          <w:b w:val="0"/>
          <w:bCs/>
          <w:sz w:val="30"/>
          <w:szCs w:val="30"/>
        </w:rPr>
      </w:pPr>
      <w:r>
        <w:rPr>
          <w:rFonts w:ascii="Times New Roman" w:hAnsi="Times New Roman" w:eastAsia="宋体"/>
          <w:sz w:val="30"/>
          <w:szCs w:val="30"/>
        </w:rPr>
        <w:br w:type="page"/>
      </w:r>
      <w:r>
        <w:rPr>
          <w:rFonts w:ascii="Times New Roman" w:hAnsi="Times New Roman" w:eastAsia="方正黑体_GBK"/>
          <w:b w:val="0"/>
          <w:bCs/>
          <w:sz w:val="30"/>
          <w:szCs w:val="30"/>
        </w:rPr>
        <w:t>附件3</w:t>
      </w:r>
    </w:p>
    <w:p>
      <w:pPr>
        <w:pStyle w:val="26"/>
        <w:spacing w:line="570" w:lineRule="exact"/>
        <w:ind w:firstLine="0" w:firstLineChars="0"/>
        <w:jc w:val="center"/>
        <w:rPr>
          <w:rFonts w:ascii="Times New Roman" w:hAnsi="Times New Roman" w:eastAsia="方正小标宋_GBK"/>
          <w:b w:val="0"/>
          <w:bCs/>
          <w:sz w:val="32"/>
          <w:szCs w:val="32"/>
        </w:rPr>
      </w:pPr>
      <w:r>
        <w:rPr>
          <w:rFonts w:ascii="Times New Roman" w:hAnsi="Times New Roman" w:eastAsia="方正小标宋_GBK"/>
          <w:b w:val="0"/>
          <w:bCs/>
          <w:sz w:val="36"/>
          <w:szCs w:val="36"/>
        </w:rPr>
        <w:t>集体议事定标个人评价意见表</w:t>
      </w:r>
    </w:p>
    <w:p>
      <w:pPr>
        <w:widowControl/>
        <w:spacing w:line="570" w:lineRule="exact"/>
        <w:ind w:firstLine="413"/>
        <w:jc w:val="center"/>
        <w:rPr>
          <w:b/>
          <w:kern w:val="0"/>
          <w:szCs w:val="21"/>
        </w:rPr>
      </w:pPr>
    </w:p>
    <w:p>
      <w:pPr>
        <w:wordWrap w:val="0"/>
        <w:spacing w:line="23" w:lineRule="atLeast"/>
        <w:ind w:firstLine="276" w:firstLineChars="100"/>
        <w:rPr>
          <w:sz w:val="28"/>
          <w:szCs w:val="28"/>
        </w:rPr>
      </w:pPr>
      <w:r>
        <w:rPr>
          <w:sz w:val="28"/>
          <w:szCs w:val="28"/>
        </w:rPr>
        <w:t>招标标段名称：</w:t>
      </w:r>
      <w:r>
        <w:rPr>
          <w:sz w:val="28"/>
          <w:szCs w:val="28"/>
          <w:u w:val="single"/>
        </w:rPr>
        <w:t xml:space="preserve">                                        </w:t>
      </w:r>
    </w:p>
    <w:tbl>
      <w:tblPr>
        <w:tblStyle w:val="8"/>
        <w:tblW w:w="8642" w:type="dxa"/>
        <w:jc w:val="center"/>
        <w:tblLayout w:type="fixed"/>
        <w:tblCellMar>
          <w:top w:w="15" w:type="dxa"/>
          <w:left w:w="15" w:type="dxa"/>
          <w:bottom w:w="15" w:type="dxa"/>
          <w:right w:w="15" w:type="dxa"/>
        </w:tblCellMar>
      </w:tblPr>
      <w:tblGrid>
        <w:gridCol w:w="1973"/>
        <w:gridCol w:w="6669"/>
      </w:tblGrid>
      <w:tr>
        <w:tblPrEx>
          <w:tblCellMar>
            <w:top w:w="15" w:type="dxa"/>
            <w:left w:w="15" w:type="dxa"/>
            <w:bottom w:w="15" w:type="dxa"/>
            <w:right w:w="15" w:type="dxa"/>
          </w:tblCellMar>
        </w:tblPrEx>
        <w:trPr>
          <w:trHeight w:val="624" w:hRule="atLeast"/>
          <w:jc w:val="center"/>
        </w:trPr>
        <w:tc>
          <w:tcPr>
            <w:tcW w:w="1973" w:type="dxa"/>
            <w:tcBorders>
              <w:top w:val="single" w:color="000000" w:sz="6" w:space="0"/>
              <w:left w:val="single" w:color="000000" w:sz="6" w:space="0"/>
              <w:bottom w:val="single" w:color="000000" w:sz="6" w:space="0"/>
              <w:right w:val="single" w:color="000000" w:sz="6" w:space="0"/>
            </w:tcBorders>
            <w:vAlign w:val="center"/>
          </w:tcPr>
          <w:p>
            <w:pPr>
              <w:wordWrap w:val="0"/>
              <w:spacing w:line="23" w:lineRule="atLeast"/>
              <w:jc w:val="center"/>
              <w:rPr>
                <w:sz w:val="28"/>
                <w:szCs w:val="28"/>
              </w:rPr>
            </w:pPr>
            <w:r>
              <w:rPr>
                <w:sz w:val="28"/>
                <w:szCs w:val="28"/>
              </w:rPr>
              <w:t>投标人名称</w:t>
            </w:r>
          </w:p>
        </w:tc>
        <w:tc>
          <w:tcPr>
            <w:tcW w:w="6669" w:type="dxa"/>
            <w:tcBorders>
              <w:top w:val="single" w:color="000000" w:sz="6" w:space="0"/>
              <w:left w:val="single" w:color="000000" w:sz="6" w:space="0"/>
              <w:bottom w:val="single" w:color="000000" w:sz="6" w:space="0"/>
              <w:right w:val="single" w:color="000000" w:sz="6" w:space="0"/>
            </w:tcBorders>
            <w:vAlign w:val="center"/>
          </w:tcPr>
          <w:p>
            <w:pPr>
              <w:wordWrap w:val="0"/>
              <w:spacing w:line="23" w:lineRule="atLeast"/>
              <w:jc w:val="center"/>
              <w:rPr>
                <w:sz w:val="28"/>
                <w:szCs w:val="28"/>
              </w:rPr>
            </w:pPr>
          </w:p>
        </w:tc>
      </w:tr>
      <w:tr>
        <w:tblPrEx>
          <w:tblCellMar>
            <w:top w:w="15" w:type="dxa"/>
            <w:left w:w="15" w:type="dxa"/>
            <w:bottom w:w="15" w:type="dxa"/>
            <w:right w:w="15" w:type="dxa"/>
          </w:tblCellMar>
        </w:tblPrEx>
        <w:trPr>
          <w:trHeight w:val="6957" w:hRule="atLeast"/>
          <w:jc w:val="center"/>
        </w:trPr>
        <w:tc>
          <w:tcPr>
            <w:tcW w:w="8642" w:type="dxa"/>
            <w:gridSpan w:val="2"/>
            <w:tcBorders>
              <w:top w:val="single" w:color="000000" w:sz="6" w:space="0"/>
              <w:left w:val="single" w:color="000000" w:sz="6" w:space="0"/>
              <w:bottom w:val="single" w:color="000000" w:sz="6" w:space="0"/>
              <w:right w:val="single" w:color="000000" w:sz="6" w:space="0"/>
            </w:tcBorders>
          </w:tcPr>
          <w:p>
            <w:pPr>
              <w:wordWrap w:val="0"/>
              <w:spacing w:line="23" w:lineRule="atLeast"/>
              <w:jc w:val="left"/>
              <w:rPr>
                <w:sz w:val="28"/>
                <w:szCs w:val="28"/>
              </w:rPr>
            </w:pPr>
          </w:p>
          <w:p>
            <w:pPr>
              <w:wordWrap w:val="0"/>
              <w:spacing w:line="23" w:lineRule="atLeast"/>
              <w:ind w:firstLine="276" w:firstLineChars="100"/>
              <w:jc w:val="left"/>
              <w:rPr>
                <w:sz w:val="28"/>
                <w:szCs w:val="28"/>
              </w:rPr>
            </w:pPr>
            <w:r>
              <w:rPr>
                <w:sz w:val="28"/>
                <w:szCs w:val="28"/>
              </w:rPr>
              <w:t>评价意见：</w:t>
            </w:r>
          </w:p>
          <w:p>
            <w:pPr>
              <w:wordWrap w:val="0"/>
              <w:spacing w:line="23" w:lineRule="atLeast"/>
              <w:jc w:val="center"/>
              <w:rPr>
                <w:sz w:val="28"/>
                <w:szCs w:val="28"/>
              </w:rPr>
            </w:pPr>
          </w:p>
          <w:p>
            <w:pPr>
              <w:wordWrap w:val="0"/>
              <w:spacing w:line="23" w:lineRule="atLeast"/>
              <w:jc w:val="center"/>
              <w:rPr>
                <w:sz w:val="28"/>
                <w:szCs w:val="28"/>
              </w:rPr>
            </w:pPr>
          </w:p>
          <w:p>
            <w:pPr>
              <w:wordWrap w:val="0"/>
              <w:spacing w:line="23" w:lineRule="atLeast"/>
              <w:jc w:val="center"/>
              <w:rPr>
                <w:sz w:val="28"/>
                <w:szCs w:val="28"/>
              </w:rPr>
            </w:pPr>
          </w:p>
          <w:p>
            <w:pPr>
              <w:wordWrap w:val="0"/>
              <w:spacing w:line="23" w:lineRule="atLeast"/>
              <w:jc w:val="center"/>
              <w:rPr>
                <w:sz w:val="28"/>
                <w:szCs w:val="28"/>
              </w:rPr>
            </w:pPr>
          </w:p>
        </w:tc>
      </w:tr>
    </w:tbl>
    <w:p>
      <w:pPr>
        <w:rPr>
          <w:szCs w:val="21"/>
        </w:rPr>
      </w:pPr>
    </w:p>
    <w:p>
      <w:pPr>
        <w:wordWrap w:val="0"/>
        <w:spacing w:line="23" w:lineRule="atLeast"/>
        <w:jc w:val="center"/>
        <w:rPr>
          <w:sz w:val="28"/>
          <w:szCs w:val="28"/>
        </w:rPr>
      </w:pPr>
      <w:r>
        <w:rPr>
          <w:sz w:val="28"/>
          <w:szCs w:val="28"/>
        </w:rPr>
        <w:t>定标地点:                                         年   月   日</w:t>
      </w:r>
    </w:p>
    <w:p>
      <w:pPr>
        <w:wordWrap w:val="0"/>
        <w:spacing w:line="23" w:lineRule="atLeast"/>
        <w:jc w:val="center"/>
        <w:rPr>
          <w:sz w:val="28"/>
          <w:szCs w:val="28"/>
        </w:rPr>
      </w:pPr>
    </w:p>
    <w:p>
      <w:pPr>
        <w:wordWrap w:val="0"/>
        <w:spacing w:line="23" w:lineRule="atLeast"/>
        <w:jc w:val="center"/>
        <w:rPr>
          <w:sz w:val="28"/>
          <w:szCs w:val="28"/>
        </w:rPr>
      </w:pPr>
      <w:r>
        <w:rPr>
          <w:sz w:val="28"/>
          <w:szCs w:val="28"/>
        </w:rPr>
        <w:t xml:space="preserve">定标委员（签名）：                                            </w:t>
      </w:r>
    </w:p>
    <w:p>
      <w:pPr>
        <w:wordWrap w:val="0"/>
        <w:spacing w:line="23" w:lineRule="atLeast"/>
        <w:rPr>
          <w:rFonts w:eastAsia="方正仿宋_GBK"/>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1361" w:footer="1587" w:gutter="0"/>
          <w:cols w:space="720" w:num="1"/>
          <w:docGrid w:type="linesAndChars" w:linePitch="579" w:charSpace="-842"/>
        </w:sectPr>
      </w:pPr>
    </w:p>
    <w:p>
      <w:pPr>
        <w:pStyle w:val="26"/>
        <w:spacing w:line="570" w:lineRule="exact"/>
        <w:ind w:firstLine="0" w:firstLineChars="0"/>
        <w:jc w:val="left"/>
        <w:rPr>
          <w:rFonts w:ascii="Times New Roman" w:hAnsi="Times New Roman" w:eastAsia="方正黑体_GBK"/>
          <w:b w:val="0"/>
          <w:bCs/>
          <w:sz w:val="30"/>
          <w:szCs w:val="30"/>
        </w:rPr>
      </w:pPr>
      <w:r>
        <w:rPr>
          <w:rFonts w:ascii="Times New Roman" w:hAnsi="Times New Roman" w:eastAsia="方正黑体_GBK"/>
          <w:b w:val="0"/>
          <w:bCs/>
          <w:sz w:val="30"/>
          <w:szCs w:val="30"/>
        </w:rPr>
        <w:t>附件4</w:t>
      </w:r>
    </w:p>
    <w:p>
      <w:pPr>
        <w:pStyle w:val="26"/>
        <w:spacing w:line="570" w:lineRule="exact"/>
        <w:ind w:firstLine="0" w:firstLineChars="0"/>
        <w:jc w:val="center"/>
        <w:rPr>
          <w:rFonts w:ascii="Times New Roman" w:hAnsi="Times New Roman" w:eastAsia="方正小标宋_GBK"/>
          <w:b w:val="0"/>
          <w:bCs/>
          <w:sz w:val="32"/>
          <w:szCs w:val="32"/>
        </w:rPr>
      </w:pPr>
      <w:r>
        <w:rPr>
          <w:rFonts w:ascii="Times New Roman" w:hAnsi="Times New Roman" w:eastAsia="方正小标宋_GBK"/>
          <w:b w:val="0"/>
          <w:bCs/>
          <w:sz w:val="36"/>
          <w:szCs w:val="36"/>
        </w:rPr>
        <w:t>集体议事定标意见表</w:t>
      </w:r>
    </w:p>
    <w:p>
      <w:pPr>
        <w:widowControl/>
        <w:spacing w:line="570" w:lineRule="exact"/>
        <w:ind w:firstLine="412"/>
        <w:jc w:val="left"/>
        <w:rPr>
          <w:bCs/>
          <w:szCs w:val="21"/>
        </w:rPr>
      </w:pPr>
    </w:p>
    <w:p>
      <w:pPr>
        <w:wordWrap w:val="0"/>
        <w:spacing w:line="23" w:lineRule="atLeast"/>
        <w:ind w:firstLine="276" w:firstLineChars="100"/>
        <w:rPr>
          <w:sz w:val="28"/>
          <w:szCs w:val="28"/>
        </w:rPr>
      </w:pPr>
      <w:r>
        <w:rPr>
          <w:sz w:val="28"/>
          <w:szCs w:val="28"/>
        </w:rPr>
        <w:t>招标标段名称：</w:t>
      </w:r>
      <w:r>
        <w:rPr>
          <w:sz w:val="28"/>
          <w:szCs w:val="28"/>
          <w:u w:val="single"/>
        </w:rPr>
        <w:t xml:space="preserve">                                        </w:t>
      </w:r>
      <w:r>
        <w:rPr>
          <w:sz w:val="28"/>
          <w:szCs w:val="28"/>
        </w:rPr>
        <w:t xml:space="preserve">     </w:t>
      </w:r>
    </w:p>
    <w:tbl>
      <w:tblPr>
        <w:tblStyle w:val="8"/>
        <w:tblW w:w="8642" w:type="dxa"/>
        <w:jc w:val="center"/>
        <w:tblLayout w:type="fixed"/>
        <w:tblCellMar>
          <w:top w:w="15" w:type="dxa"/>
          <w:left w:w="15" w:type="dxa"/>
          <w:bottom w:w="15" w:type="dxa"/>
          <w:right w:w="15" w:type="dxa"/>
        </w:tblCellMar>
      </w:tblPr>
      <w:tblGrid>
        <w:gridCol w:w="2309"/>
        <w:gridCol w:w="6333"/>
      </w:tblGrid>
      <w:tr>
        <w:tblPrEx>
          <w:tblCellMar>
            <w:top w:w="15" w:type="dxa"/>
            <w:left w:w="15" w:type="dxa"/>
            <w:bottom w:w="15" w:type="dxa"/>
            <w:right w:w="15" w:type="dxa"/>
          </w:tblCellMar>
        </w:tblPrEx>
        <w:trPr>
          <w:trHeight w:val="624" w:hRule="atLeast"/>
          <w:jc w:val="center"/>
        </w:trPr>
        <w:tc>
          <w:tcPr>
            <w:tcW w:w="2309" w:type="dxa"/>
            <w:tcBorders>
              <w:top w:val="single" w:color="000000" w:sz="6" w:space="0"/>
              <w:left w:val="single" w:color="000000" w:sz="6" w:space="0"/>
              <w:bottom w:val="single" w:color="000000" w:sz="6" w:space="0"/>
              <w:right w:val="single" w:color="000000" w:sz="6" w:space="0"/>
            </w:tcBorders>
            <w:vAlign w:val="center"/>
          </w:tcPr>
          <w:p>
            <w:pPr>
              <w:wordWrap w:val="0"/>
              <w:spacing w:line="23" w:lineRule="atLeast"/>
              <w:jc w:val="center"/>
              <w:rPr>
                <w:sz w:val="28"/>
                <w:szCs w:val="28"/>
              </w:rPr>
            </w:pPr>
            <w:r>
              <w:rPr>
                <w:sz w:val="28"/>
                <w:szCs w:val="28"/>
              </w:rPr>
              <w:t>推荐的中标人名称</w:t>
            </w:r>
          </w:p>
        </w:tc>
        <w:tc>
          <w:tcPr>
            <w:tcW w:w="6333" w:type="dxa"/>
            <w:tcBorders>
              <w:top w:val="single" w:color="000000" w:sz="6" w:space="0"/>
              <w:left w:val="single" w:color="000000" w:sz="6" w:space="0"/>
              <w:bottom w:val="single" w:color="000000" w:sz="6" w:space="0"/>
              <w:right w:val="single" w:color="000000" w:sz="6" w:space="0"/>
            </w:tcBorders>
            <w:vAlign w:val="center"/>
          </w:tcPr>
          <w:p>
            <w:pPr>
              <w:wordWrap w:val="0"/>
              <w:spacing w:line="23" w:lineRule="atLeast"/>
              <w:jc w:val="center"/>
              <w:rPr>
                <w:sz w:val="28"/>
                <w:szCs w:val="28"/>
              </w:rPr>
            </w:pPr>
          </w:p>
        </w:tc>
      </w:tr>
      <w:tr>
        <w:tblPrEx>
          <w:tblCellMar>
            <w:top w:w="15" w:type="dxa"/>
            <w:left w:w="15" w:type="dxa"/>
            <w:bottom w:w="15" w:type="dxa"/>
            <w:right w:w="15" w:type="dxa"/>
          </w:tblCellMar>
        </w:tblPrEx>
        <w:trPr>
          <w:trHeight w:val="7064" w:hRule="atLeast"/>
          <w:jc w:val="center"/>
        </w:trPr>
        <w:tc>
          <w:tcPr>
            <w:tcW w:w="8642" w:type="dxa"/>
            <w:gridSpan w:val="2"/>
            <w:tcBorders>
              <w:top w:val="single" w:color="000000" w:sz="6" w:space="0"/>
              <w:left w:val="single" w:color="000000" w:sz="6" w:space="0"/>
              <w:bottom w:val="single" w:color="000000" w:sz="6" w:space="0"/>
              <w:right w:val="single" w:color="000000" w:sz="6" w:space="0"/>
            </w:tcBorders>
          </w:tcPr>
          <w:p>
            <w:pPr>
              <w:wordWrap w:val="0"/>
              <w:spacing w:line="23" w:lineRule="atLeast"/>
              <w:jc w:val="center"/>
              <w:rPr>
                <w:sz w:val="28"/>
                <w:szCs w:val="28"/>
              </w:rPr>
            </w:pPr>
          </w:p>
          <w:p>
            <w:pPr>
              <w:wordWrap w:val="0"/>
              <w:spacing w:line="23" w:lineRule="atLeast"/>
              <w:ind w:firstLine="276" w:firstLineChars="100"/>
              <w:jc w:val="left"/>
              <w:rPr>
                <w:sz w:val="28"/>
                <w:szCs w:val="28"/>
              </w:rPr>
            </w:pPr>
            <w:r>
              <w:rPr>
                <w:sz w:val="28"/>
                <w:szCs w:val="28"/>
              </w:rPr>
              <w:t>推荐理由：</w:t>
            </w:r>
          </w:p>
          <w:p>
            <w:pPr>
              <w:wordWrap w:val="0"/>
              <w:spacing w:line="23" w:lineRule="atLeast"/>
              <w:jc w:val="center"/>
              <w:rPr>
                <w:sz w:val="28"/>
                <w:szCs w:val="28"/>
              </w:rPr>
            </w:pPr>
          </w:p>
          <w:p>
            <w:pPr>
              <w:wordWrap w:val="0"/>
              <w:spacing w:line="23" w:lineRule="atLeast"/>
              <w:jc w:val="center"/>
              <w:rPr>
                <w:sz w:val="28"/>
                <w:szCs w:val="28"/>
              </w:rPr>
            </w:pPr>
          </w:p>
          <w:p>
            <w:pPr>
              <w:wordWrap w:val="0"/>
              <w:spacing w:line="23" w:lineRule="atLeast"/>
              <w:jc w:val="center"/>
              <w:rPr>
                <w:sz w:val="28"/>
                <w:szCs w:val="28"/>
              </w:rPr>
            </w:pPr>
          </w:p>
          <w:p>
            <w:pPr>
              <w:wordWrap w:val="0"/>
              <w:spacing w:line="23" w:lineRule="atLeast"/>
              <w:jc w:val="center"/>
              <w:rPr>
                <w:sz w:val="28"/>
                <w:szCs w:val="28"/>
              </w:rPr>
            </w:pPr>
          </w:p>
          <w:p>
            <w:pPr>
              <w:wordWrap w:val="0"/>
              <w:spacing w:line="23" w:lineRule="atLeast"/>
              <w:jc w:val="center"/>
              <w:rPr>
                <w:sz w:val="28"/>
                <w:szCs w:val="28"/>
              </w:rPr>
            </w:pPr>
          </w:p>
        </w:tc>
      </w:tr>
    </w:tbl>
    <w:p>
      <w:pPr>
        <w:widowControl/>
        <w:spacing w:line="30" w:lineRule="atLeast"/>
        <w:ind w:firstLine="309" w:firstLineChars="150"/>
        <w:jc w:val="left"/>
        <w:rPr>
          <w:bCs/>
          <w:szCs w:val="21"/>
        </w:rPr>
      </w:pPr>
    </w:p>
    <w:p>
      <w:pPr>
        <w:wordWrap w:val="0"/>
        <w:spacing w:line="23" w:lineRule="atLeast"/>
        <w:ind w:firstLine="276" w:firstLineChars="100"/>
        <w:rPr>
          <w:sz w:val="28"/>
          <w:szCs w:val="28"/>
        </w:rPr>
      </w:pPr>
      <w:r>
        <w:rPr>
          <w:sz w:val="28"/>
          <w:szCs w:val="28"/>
        </w:rPr>
        <w:t>定标地点：                                       年   月   日</w:t>
      </w:r>
    </w:p>
    <w:p>
      <w:pPr>
        <w:wordWrap w:val="0"/>
        <w:spacing w:line="23" w:lineRule="atLeast"/>
        <w:jc w:val="center"/>
        <w:rPr>
          <w:sz w:val="28"/>
          <w:szCs w:val="28"/>
        </w:rPr>
      </w:pPr>
    </w:p>
    <w:p>
      <w:pPr>
        <w:wordWrap w:val="0"/>
        <w:spacing w:line="23" w:lineRule="atLeast"/>
        <w:ind w:firstLine="276" w:firstLineChars="100"/>
        <w:jc w:val="left"/>
        <w:rPr>
          <w:sz w:val="28"/>
          <w:szCs w:val="28"/>
        </w:rPr>
      </w:pPr>
      <w:r>
        <w:rPr>
          <w:sz w:val="28"/>
          <w:szCs w:val="28"/>
        </w:rPr>
        <w:t>定标委员会负责人（签名）：</w:t>
      </w:r>
    </w:p>
    <w:p>
      <w:pPr>
        <w:spacing w:line="570" w:lineRule="exact"/>
        <w:rPr>
          <w:rFonts w:ascii="方正仿宋_GBK" w:eastAsia="方正仿宋_GBK"/>
          <w:sz w:val="32"/>
          <w:szCs w:val="32"/>
        </w:rPr>
      </w:pPr>
    </w:p>
    <w:sectPr>
      <w:headerReference r:id="rId9" w:type="default"/>
      <w:footerReference r:id="rId10" w:type="default"/>
      <w:footerReference r:id="rId11" w:type="even"/>
      <w:pgSz w:w="11906" w:h="16838"/>
      <w:pgMar w:top="2098" w:right="1474" w:bottom="1985" w:left="1588" w:header="720" w:footer="1474" w:gutter="0"/>
      <w:cols w:space="720" w:num="1"/>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00"/>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6385" cy="131445"/>
              <wp:effectExtent l="0" t="0" r="0" b="0"/>
              <wp:wrapNone/>
              <wp:docPr id="2" name="文本框 1"/>
              <wp:cNvGraphicFramePr/>
              <a:graphic xmlns:a="http://schemas.openxmlformats.org/drawingml/2006/main">
                <a:graphicData uri="http://schemas.microsoft.com/office/word/2010/wordprocessingShape">
                  <wps:wsp>
                    <wps:cNvSpPr/>
                    <wps:spPr>
                      <a:xfrm>
                        <a:off x="0" y="0"/>
                        <a:ext cx="286385" cy="131445"/>
                      </a:xfrm>
                      <a:prstGeom prst="rect">
                        <a:avLst/>
                      </a:prstGeom>
                      <a:noFill/>
                      <a:ln>
                        <a:noFill/>
                      </a:ln>
                    </wps:spPr>
                    <wps:txbx>
                      <w:txbxContent>
                        <w:p>
                          <w:pPr>
                            <w:pStyle w:val="6"/>
                            <w:jc w:val="left"/>
                            <w:rPr>
                              <w:szCs w:val="28"/>
                            </w:rPr>
                          </w:pPr>
                          <w:r>
                            <w:rPr>
                              <w:szCs w:val="28"/>
                            </w:rPr>
                            <w:t xml:space="preserve">— </w:t>
                          </w:r>
                          <w:r>
                            <w:rPr>
                              <w:szCs w:val="28"/>
                            </w:rPr>
                            <w:fldChar w:fldCharType="begin"/>
                          </w:r>
                          <w:r>
                            <w:rPr>
                              <w:szCs w:val="28"/>
                            </w:rPr>
                            <w:instrText xml:space="preserve"> PAGE  \* MERGEFORMAT </w:instrText>
                          </w:r>
                          <w:r>
                            <w:rPr>
                              <w:szCs w:val="28"/>
                            </w:rPr>
                            <w:fldChar w:fldCharType="separate"/>
                          </w:r>
                          <w:r>
                            <w:rPr>
                              <w:szCs w:val="28"/>
                            </w:rPr>
                            <w:t>9</w:t>
                          </w:r>
                          <w:r>
                            <w:rPr>
                              <w:szCs w:val="28"/>
                            </w:rPr>
                            <w:fldChar w:fldCharType="end"/>
                          </w:r>
                          <w:r>
                            <w:rPr>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0.35pt;width:22.55pt;mso-position-horizontal:outside;mso-position-horizontal-relative:margin;mso-wrap-style:none;z-index:251659264;mso-width-relative:page;mso-height-relative:page;" filled="f" stroked="f" coordsize="21600,21600" o:gfxdata="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OV2/NIAAAADAQAADwAAAAAAAAABACAAAAAiAAAAZHJzL2Rvd25yZXYu&#10;eG1sUEsBAhQAFAAAAAgAh07iQP0PjmbIAQAAjQMAAA4AAAAAAAAAAQAgAAAAIQEAAGRycy9lMm9E&#10;b2MueG1sUEsFBgAAAAAGAAYAWQEAAFsFAAAAAA==&#10;">
              <v:fill on="f" focussize="0,0"/>
              <v:stroke on="f"/>
              <v:imagedata o:title=""/>
              <o:lock v:ext="edit" aspectratio="f"/>
              <v:textbox inset="0mm,0mm,0mm,0mm" style="mso-fit-shape-to-text:t;">
                <w:txbxContent>
                  <w:p>
                    <w:pPr>
                      <w:pStyle w:val="6"/>
                      <w:jc w:val="left"/>
                      <w:rPr>
                        <w:szCs w:val="28"/>
                      </w:rPr>
                    </w:pPr>
                    <w:r>
                      <w:rPr>
                        <w:szCs w:val="28"/>
                      </w:rPr>
                      <w:t xml:space="preserve">— </w:t>
                    </w:r>
                    <w:r>
                      <w:rPr>
                        <w:szCs w:val="28"/>
                      </w:rPr>
                      <w:fldChar w:fldCharType="begin"/>
                    </w:r>
                    <w:r>
                      <w:rPr>
                        <w:szCs w:val="28"/>
                      </w:rPr>
                      <w:instrText xml:space="preserve"> PAGE  \* MERGEFORMAT </w:instrText>
                    </w:r>
                    <w:r>
                      <w:rPr>
                        <w:szCs w:val="28"/>
                      </w:rPr>
                      <w:fldChar w:fldCharType="separate"/>
                    </w:r>
                    <w:r>
                      <w:rPr>
                        <w:szCs w:val="28"/>
                      </w:rPr>
                      <w:t>9</w:t>
                    </w:r>
                    <w:r>
                      <w:rPr>
                        <w:szCs w:val="28"/>
                      </w:rPr>
                      <w:fldChar w:fldCharType="end"/>
                    </w:r>
                    <w:r>
                      <w:rPr>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 </w:t>
                          </w:r>
                          <w:r>
                            <w:fldChar w:fldCharType="begin"/>
                          </w:r>
                          <w:r>
                            <w:instrText xml:space="preserve"> PAGE  \* MERGEFORMAT </w:instrText>
                          </w:r>
                          <w:r>
                            <w:fldChar w:fldCharType="separate"/>
                          </w:r>
                          <w:r>
                            <w:t>13</w:t>
                          </w:r>
                          <w:r>
                            <w:fldChar w:fldCharType="end"/>
                          </w:r>
                          <w: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LQTDn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lZJnt5DjVmPHvPi8MENuDTzPeBlYj3IYNIX+RCMo7ini7hiiISnR9WqqkoMcYzNDuIXT899&#10;gHgnnCHJaGjA6WVR2fEB4pg6p6Rq1t0qrfMEtSU9ol5V767yi0sI0bXFIonF2G2y4rAbJmo7156Q&#10;WY8r0FCLG0+JvreocNqW2QizsZuNgw9q32GTy1wP/PtDxHZyl6nCCDsVxtllntOepeX4289ZT//W&#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tBMOdIBAACjAwAADgAAAAAAAAABACAAAAAi&#10;AQAAZHJzL2Uyb0RvYy54bWxQSwUGAAAAAAYABgBZAQAAZgUAAAAA&#10;">
              <v:fill on="f" focussize="0,0"/>
              <v:stroke on="f" weight="1.2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both"/>
    </w:pPr>
    <w:r>
      <w:rPr>
        <w:rFonts w:hint="eastAsia"/>
      </w:rPr>
      <w:t xml:space="preserve">— </w:t>
    </w:r>
    <w:r>
      <w:fldChar w:fldCharType="begin"/>
    </w:r>
    <w:r>
      <w:rPr>
        <w:rStyle w:val="11"/>
      </w:rPr>
      <w:instrText xml:space="preserve"> PAGE </w:instrText>
    </w:r>
    <w:r>
      <w:fldChar w:fldCharType="separate"/>
    </w:r>
    <w:r>
      <w:rPr>
        <w:rStyle w:val="11"/>
      </w:rPr>
      <w:t>2</w:t>
    </w:r>
    <w:r>
      <w:fldChar w:fldCharType="end"/>
    </w:r>
    <w:r>
      <w:rPr>
        <w:rStyle w:val="11"/>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315"/>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jYxZGRlNjI5OTdhNzFhODY3Zjc1MzdjZmZjYmIifQ=="/>
    <w:docVar w:name="KGWebUrl" w:val="http://192.168.70.221:80/weaver/weaver.file.FileDownload?fileid=12&amp;type=editMould"/>
  </w:docVars>
  <w:rsids>
    <w:rsidRoot w:val="009C516D"/>
    <w:rsid w:val="00015680"/>
    <w:rsid w:val="00027BF2"/>
    <w:rsid w:val="00041FDE"/>
    <w:rsid w:val="0005219B"/>
    <w:rsid w:val="00073870"/>
    <w:rsid w:val="000A6BC1"/>
    <w:rsid w:val="0019527A"/>
    <w:rsid w:val="001C6E41"/>
    <w:rsid w:val="001F4EB5"/>
    <w:rsid w:val="002055A7"/>
    <w:rsid w:val="00211E47"/>
    <w:rsid w:val="00214417"/>
    <w:rsid w:val="00223A0A"/>
    <w:rsid w:val="00240975"/>
    <w:rsid w:val="00247059"/>
    <w:rsid w:val="002561D5"/>
    <w:rsid w:val="002623E1"/>
    <w:rsid w:val="00284AAB"/>
    <w:rsid w:val="00296403"/>
    <w:rsid w:val="002A0C62"/>
    <w:rsid w:val="002B43F9"/>
    <w:rsid w:val="002C09D8"/>
    <w:rsid w:val="0031518A"/>
    <w:rsid w:val="0032032E"/>
    <w:rsid w:val="00354DBC"/>
    <w:rsid w:val="00383D55"/>
    <w:rsid w:val="00411A4D"/>
    <w:rsid w:val="00441372"/>
    <w:rsid w:val="00442458"/>
    <w:rsid w:val="004569EF"/>
    <w:rsid w:val="00482C22"/>
    <w:rsid w:val="0049721A"/>
    <w:rsid w:val="004C0402"/>
    <w:rsid w:val="004D08D8"/>
    <w:rsid w:val="004F7E6C"/>
    <w:rsid w:val="0051401C"/>
    <w:rsid w:val="00516347"/>
    <w:rsid w:val="00527681"/>
    <w:rsid w:val="00545E7B"/>
    <w:rsid w:val="005B54FD"/>
    <w:rsid w:val="005F6BC3"/>
    <w:rsid w:val="0060097C"/>
    <w:rsid w:val="00600C23"/>
    <w:rsid w:val="0062088A"/>
    <w:rsid w:val="006271DF"/>
    <w:rsid w:val="0066609C"/>
    <w:rsid w:val="006944A0"/>
    <w:rsid w:val="006A00AB"/>
    <w:rsid w:val="006C4D1A"/>
    <w:rsid w:val="006C4F14"/>
    <w:rsid w:val="006F5EBB"/>
    <w:rsid w:val="00712DD3"/>
    <w:rsid w:val="00717FC0"/>
    <w:rsid w:val="007475D6"/>
    <w:rsid w:val="00765C45"/>
    <w:rsid w:val="00787BD2"/>
    <w:rsid w:val="007B1EB7"/>
    <w:rsid w:val="007E7A11"/>
    <w:rsid w:val="008218EF"/>
    <w:rsid w:val="008625C4"/>
    <w:rsid w:val="00865AEE"/>
    <w:rsid w:val="00884CD1"/>
    <w:rsid w:val="008D01A5"/>
    <w:rsid w:val="008E0A7C"/>
    <w:rsid w:val="008F15B3"/>
    <w:rsid w:val="00901349"/>
    <w:rsid w:val="00903DEA"/>
    <w:rsid w:val="00974DBD"/>
    <w:rsid w:val="00980879"/>
    <w:rsid w:val="009866B4"/>
    <w:rsid w:val="009C516D"/>
    <w:rsid w:val="009D3210"/>
    <w:rsid w:val="009E6B98"/>
    <w:rsid w:val="009F6178"/>
    <w:rsid w:val="009F7366"/>
    <w:rsid w:val="00A03E5F"/>
    <w:rsid w:val="00A14E5E"/>
    <w:rsid w:val="00A47FCB"/>
    <w:rsid w:val="00A51946"/>
    <w:rsid w:val="00A71F3B"/>
    <w:rsid w:val="00AA73FD"/>
    <w:rsid w:val="00AE4F79"/>
    <w:rsid w:val="00B07030"/>
    <w:rsid w:val="00B27B06"/>
    <w:rsid w:val="00B34963"/>
    <w:rsid w:val="00B34968"/>
    <w:rsid w:val="00B45DFA"/>
    <w:rsid w:val="00B473E0"/>
    <w:rsid w:val="00B61E16"/>
    <w:rsid w:val="00B7033A"/>
    <w:rsid w:val="00B770A9"/>
    <w:rsid w:val="00B94CD0"/>
    <w:rsid w:val="00BA0522"/>
    <w:rsid w:val="00BA13F3"/>
    <w:rsid w:val="00BB3E9F"/>
    <w:rsid w:val="00BE5BBB"/>
    <w:rsid w:val="00BE711D"/>
    <w:rsid w:val="00BF03DE"/>
    <w:rsid w:val="00D0303E"/>
    <w:rsid w:val="00D13D97"/>
    <w:rsid w:val="00D16B1C"/>
    <w:rsid w:val="00D30FA9"/>
    <w:rsid w:val="00D32BAD"/>
    <w:rsid w:val="00D85619"/>
    <w:rsid w:val="00D93361"/>
    <w:rsid w:val="00DB0FB3"/>
    <w:rsid w:val="00DB43B2"/>
    <w:rsid w:val="00DD4169"/>
    <w:rsid w:val="00DE285B"/>
    <w:rsid w:val="00DF253E"/>
    <w:rsid w:val="00E21983"/>
    <w:rsid w:val="00E22F65"/>
    <w:rsid w:val="00E235CE"/>
    <w:rsid w:val="00E43299"/>
    <w:rsid w:val="00E71B2F"/>
    <w:rsid w:val="00E76D98"/>
    <w:rsid w:val="00F36A53"/>
    <w:rsid w:val="00F40C57"/>
    <w:rsid w:val="00F50AD2"/>
    <w:rsid w:val="00F656CB"/>
    <w:rsid w:val="00F923D5"/>
    <w:rsid w:val="00FB2CDF"/>
    <w:rsid w:val="00FC5AE9"/>
    <w:rsid w:val="00FE1FB5"/>
    <w:rsid w:val="08374CC9"/>
    <w:rsid w:val="09E15B84"/>
    <w:rsid w:val="0A020665"/>
    <w:rsid w:val="0CD56D9C"/>
    <w:rsid w:val="0FE11148"/>
    <w:rsid w:val="1FBC5A21"/>
    <w:rsid w:val="1FDB1F65"/>
    <w:rsid w:val="213E5A47"/>
    <w:rsid w:val="23B1422B"/>
    <w:rsid w:val="28B86FBF"/>
    <w:rsid w:val="2AAF0D6A"/>
    <w:rsid w:val="33402235"/>
    <w:rsid w:val="358024D4"/>
    <w:rsid w:val="49A46D4E"/>
    <w:rsid w:val="4CBF7AF9"/>
    <w:rsid w:val="5861593F"/>
    <w:rsid w:val="609D67B6"/>
    <w:rsid w:val="65033347"/>
    <w:rsid w:val="70F02B00"/>
    <w:rsid w:val="757260C0"/>
    <w:rsid w:val="7B690E7E"/>
    <w:rsid w:val="897DF3FE"/>
    <w:rsid w:val="9FE91A59"/>
    <w:rsid w:val="FBFF5ABC"/>
    <w:rsid w:val="FEFC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jc w:val="left"/>
    </w:pPr>
    <w:rPr>
      <w:spacing w:val="-25"/>
    </w:rPr>
  </w:style>
  <w:style w:type="paragraph" w:styleId="4">
    <w:name w:val="annotation text"/>
    <w:basedOn w:val="1"/>
    <w:semiHidden/>
    <w:qFormat/>
    <w:uiPriority w:val="99"/>
    <w:pPr>
      <w:ind w:firstLine="880" w:firstLineChars="200"/>
      <w:jc w:val="left"/>
    </w:pPr>
    <w:rPr>
      <w:rFonts w:eastAsia="方正仿宋_GBK"/>
      <w:sz w:val="32"/>
    </w:rPr>
  </w:style>
  <w:style w:type="paragraph" w:styleId="5">
    <w:name w:val="Balloon Text"/>
    <w:basedOn w:val="1"/>
    <w:link w:val="12"/>
    <w:unhideWhenUsed/>
    <w:qFormat/>
    <w:uiPriority w:val="99"/>
    <w:rPr>
      <w:sz w:val="18"/>
      <w:szCs w:val="18"/>
    </w:rPr>
  </w:style>
  <w:style w:type="paragraph" w:styleId="6">
    <w:name w:val="footer"/>
    <w:basedOn w:val="1"/>
    <w:qFormat/>
    <w:uiPriority w:val="0"/>
    <w:pPr>
      <w:tabs>
        <w:tab w:val="center" w:pos="4153"/>
        <w:tab w:val="right" w:pos="8306"/>
      </w:tabs>
      <w:spacing w:line="400" w:lineRule="atLeast"/>
      <w:jc w:val="center"/>
    </w:pPr>
    <w:rPr>
      <w:sz w:val="28"/>
    </w:rPr>
  </w:style>
  <w:style w:type="paragraph" w:styleId="7">
    <w:name w:val="header"/>
    <w:basedOn w:val="1"/>
    <w:qFormat/>
    <w:uiPriority w:val="0"/>
    <w:pPr>
      <w:tabs>
        <w:tab w:val="center" w:pos="4153"/>
        <w:tab w:val="right" w:pos="8306"/>
      </w:tabs>
      <w:spacing w:line="240" w:lineRule="atLeast"/>
      <w:jc w:val="center"/>
    </w:pPr>
    <w:rPr>
      <w:sz w:val="18"/>
    </w:rPr>
  </w:style>
  <w:style w:type="table" w:styleId="9">
    <w:name w:val="Table Grid"/>
    <w:basedOn w:val="8"/>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customStyle="1" w:styleId="12">
    <w:name w:val="批注框文本 Char"/>
    <w:link w:val="5"/>
    <w:semiHidden/>
    <w:qFormat/>
    <w:uiPriority w:val="99"/>
    <w:rPr>
      <w:kern w:val="2"/>
      <w:sz w:val="18"/>
      <w:szCs w:val="18"/>
    </w:rPr>
  </w:style>
  <w:style w:type="paragraph" w:customStyle="1" w:styleId="13">
    <w:name w:val="附件栏"/>
    <w:basedOn w:val="1"/>
    <w:qFormat/>
    <w:uiPriority w:val="0"/>
  </w:style>
  <w:style w:type="paragraph" w:customStyle="1" w:styleId="14">
    <w:name w:val="抄送栏"/>
    <w:basedOn w:val="1"/>
    <w:qFormat/>
    <w:uiPriority w:val="0"/>
    <w:pPr>
      <w:adjustRightInd w:val="0"/>
      <w:spacing w:line="454" w:lineRule="atLeast"/>
      <w:ind w:left="1310" w:right="357" w:hanging="953"/>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密级"/>
    <w:basedOn w:val="1"/>
    <w:qFormat/>
    <w:uiPriority w:val="0"/>
    <w:pPr>
      <w:adjustRightInd w:val="0"/>
      <w:spacing w:line="440" w:lineRule="atLeast"/>
      <w:jc w:val="right"/>
    </w:pPr>
    <w:rPr>
      <w:rFonts w:ascii="黑体" w:eastAsia="黑体"/>
      <w:kern w:val="0"/>
      <w:sz w:val="30"/>
    </w:rPr>
  </w:style>
  <w:style w:type="paragraph" w:customStyle="1" w:styleId="17">
    <w:name w:val="紧急程度"/>
    <w:basedOn w:val="16"/>
    <w:qFormat/>
    <w:uiPriority w:val="0"/>
    <w:pPr>
      <w:overflowPunct w:val="0"/>
    </w:pPr>
    <w:rPr>
      <w:sz w:val="32"/>
    </w:rPr>
  </w:style>
  <w:style w:type="paragraph" w:customStyle="1" w:styleId="18">
    <w:name w:val="标题2"/>
    <w:basedOn w:val="1"/>
    <w:next w:val="1"/>
    <w:qFormat/>
    <w:uiPriority w:val="0"/>
    <w:pPr>
      <w:jc w:val="center"/>
    </w:pPr>
    <w:rPr>
      <w:rFonts w:eastAsia="方正楷体_GBK"/>
    </w:rPr>
  </w:style>
  <w:style w:type="paragraph" w:customStyle="1" w:styleId="19">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20">
    <w:name w:val="印数"/>
    <w:basedOn w:val="15"/>
    <w:qFormat/>
    <w:uiPriority w:val="0"/>
    <w:pPr>
      <w:spacing w:line="400" w:lineRule="atLeast"/>
      <w:jc w:val="right"/>
    </w:pPr>
  </w:style>
  <w:style w:type="paragraph" w:customStyle="1" w:styleId="21">
    <w:name w:val="标题3"/>
    <w:basedOn w:val="1"/>
    <w:next w:val="1"/>
    <w:qFormat/>
    <w:uiPriority w:val="0"/>
    <w:rPr>
      <w:rFonts w:eastAsia="方正黑体_GBK"/>
    </w:rPr>
  </w:style>
  <w:style w:type="paragraph" w:customStyle="1" w:styleId="22">
    <w:name w:val="标题1"/>
    <w:basedOn w:val="1"/>
    <w:next w:val="1"/>
    <w:qFormat/>
    <w:uiPriority w:val="0"/>
    <w:pPr>
      <w:tabs>
        <w:tab w:val="left" w:pos="9193"/>
        <w:tab w:val="left" w:pos="9827"/>
      </w:tabs>
      <w:spacing w:line="640" w:lineRule="atLeast"/>
      <w:jc w:val="center"/>
    </w:pPr>
    <w:rPr>
      <w:rFonts w:eastAsia="方正小标宋_GBK"/>
      <w:sz w:val="44"/>
    </w:rPr>
  </w:style>
  <w:style w:type="paragraph" w:customStyle="1" w:styleId="23">
    <w:name w:val="样式1"/>
    <w:basedOn w:val="1"/>
    <w:qFormat/>
    <w:uiPriority w:val="0"/>
  </w:style>
  <w:style w:type="paragraph" w:customStyle="1" w:styleId="24">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5">
    <w:name w:val="线型"/>
    <w:basedOn w:val="14"/>
    <w:qFormat/>
    <w:uiPriority w:val="0"/>
    <w:pPr>
      <w:spacing w:line="240" w:lineRule="auto"/>
      <w:ind w:left="0" w:firstLine="0"/>
      <w:jc w:val="center"/>
    </w:pPr>
  </w:style>
  <w:style w:type="paragraph" w:customStyle="1" w:styleId="26">
    <w:name w:val="样式2"/>
    <w:basedOn w:val="1"/>
    <w:qFormat/>
    <w:uiPriority w:val="0"/>
    <w:pPr>
      <w:spacing w:line="360" w:lineRule="auto"/>
      <w:ind w:firstLine="562" w:firstLineChars="200"/>
    </w:pPr>
    <w:rPr>
      <w:rFonts w:ascii="仿宋_GB2312" w:hAnsi="Calibri" w:eastAsia="仿宋_GB2312"/>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3815</Words>
  <Characters>3877</Characters>
  <Lines>33</Lines>
  <Paragraphs>9</Paragraphs>
  <TotalTime>0</TotalTime>
  <ScaleCrop>false</ScaleCrop>
  <LinksUpToDate>false</LinksUpToDate>
  <CharactersWithSpaces>4367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2023-05-11T09:32:00Z</dcterms:created>
  <dc:creator>gxq</dc:creator>
  <cp:lastModifiedBy>长亭浪子</cp:lastModifiedBy>
  <dcterms:modified xsi:type="dcterms:W3CDTF">2023-05-18T08:13:33Z</dcterms:modified>
  <dc:title>省政府办公厅关于加强城市地下管线建设管理的实施意见(苏政办发〔2014〕110号)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07FAD3461912480AA17E65821EC4F3C2_13</vt:lpwstr>
  </property>
</Properties>
</file>